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media/image1.png" ContentType="image/png"/>
  <Override PartName="/word/media/image2.png" ContentType="image/png"/>
  <Override PartName="/word/media/image3.png" ContentType="image/png"/>
  <Override PartName="/word/media/image4.png" ContentType="image/png"/>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header3.xml.rels" ContentType="application/vnd.openxmlformats-package.relationships+xml"/>
  <Override PartName="/word/_rels/document.xml.rels" ContentType="application/vnd.openxmlformats-package.relationships+xml"/>
  <Override PartName="/word/_rels/footer3.xml.rels" ContentType="application/vnd.openxmlformats-package.relationships+xml"/>
  <Override PartName="/word/_rels/header2.xml.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5200" w:after="200"/>
        <w:jc w:val="center"/>
        <w:rPr>
          <w:rFonts w:ascii="Arial" w:hAnsi="Arial" w:cs="Arial"/>
          <w:b/>
          <w:caps/>
        </w:rPr>
      </w:pPr>
      <w:bookmarkStart w:id="0" w:name="_Hlk137216720"/>
      <w:bookmarkEnd w:id="0"/>
      <w:r>
        <w:rPr>
          <w:rFonts w:cs="Arial" w:ascii="Arial" w:hAnsi="Arial"/>
          <w:b/>
          <w:caps/>
        </w:rPr>
        <w:t>SĄNAUDŲ KIEKIŲ ŽINIARAŠTIS</w:t>
      </w:r>
      <w:r>
        <w:br w:type="page"/>
      </w:r>
    </w:p>
    <w:tbl>
      <w:tblPr>
        <w:tblW w:w="10490" w:type="dxa"/>
        <w:jc w:val="left"/>
        <w:tblInd w:w="-289" w:type="dxa"/>
        <w:tblLayout w:type="fixed"/>
        <w:tblCellMar>
          <w:top w:w="0" w:type="dxa"/>
          <w:left w:w="108" w:type="dxa"/>
          <w:bottom w:w="0" w:type="dxa"/>
          <w:right w:w="108" w:type="dxa"/>
        </w:tblCellMar>
      </w:tblPr>
      <w:tblGrid>
        <w:gridCol w:w="867"/>
        <w:gridCol w:w="5201"/>
        <w:gridCol w:w="1016"/>
        <w:gridCol w:w="714"/>
        <w:gridCol w:w="1222"/>
        <w:gridCol w:w="1470"/>
      </w:tblGrid>
      <w:tr>
        <w:trPr>
          <w:trHeight w:val="52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pageBreakBefore/>
              <w:widowControl w:val="false"/>
              <w:spacing w:lineRule="auto" w:line="240" w:before="0" w:after="0"/>
              <w:jc w:val="center"/>
              <w:rPr>
                <w:color w:val="auto"/>
              </w:rPr>
            </w:pPr>
            <w:r>
              <w:rPr>
                <w:rFonts w:cs="Arial" w:ascii="Arial" w:hAnsi="Arial"/>
                <w:b/>
                <w:bCs/>
                <w:color w:val="auto"/>
                <w:sz w:val="20"/>
                <w:szCs w:val="20"/>
                <w:lang w:eastAsia="lt-LT"/>
              </w:rPr>
              <w:t>Eil. Nr.</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lang w:eastAsia="lt-LT"/>
              </w:rPr>
              <w:t>Pavadinimas ir techninės charakteristikos</w:t>
            </w:r>
          </w:p>
        </w:tc>
        <w:tc>
          <w:tcPr>
            <w:tcW w:w="10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lang w:eastAsia="lt-LT"/>
              </w:rPr>
              <w:t>Žymuo</w:t>
            </w:r>
          </w:p>
        </w:tc>
        <w:tc>
          <w:tcPr>
            <w:tcW w:w="7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lang w:eastAsia="lt-LT"/>
              </w:rPr>
              <w:t>Mato vnt.</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lang w:eastAsia="lt-LT"/>
              </w:rPr>
              <w:t>Kiekis</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lang w:eastAsia="lt-LT"/>
              </w:rPr>
              <w:t>Pastabos/</w:t>
            </w:r>
          </w:p>
          <w:p>
            <w:pPr>
              <w:pStyle w:val="Normal"/>
              <w:widowControl w:val="false"/>
              <w:spacing w:lineRule="auto" w:line="240" w:before="0" w:after="0"/>
              <w:jc w:val="center"/>
              <w:rPr>
                <w:color w:val="auto"/>
              </w:rPr>
            </w:pPr>
            <w:r>
              <w:rPr>
                <w:rFonts w:cs="Arial" w:ascii="Arial" w:hAnsi="Arial"/>
                <w:b/>
                <w:bCs/>
                <w:color w:val="auto"/>
                <w:sz w:val="20"/>
                <w:szCs w:val="20"/>
                <w:lang w:eastAsia="lt-LT"/>
              </w:rPr>
              <w:t>Nuorodos į TS</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rPr>
              <w:t>1.</w:t>
            </w:r>
          </w:p>
        </w:tc>
        <w:tc>
          <w:tcPr>
            <w:tcW w:w="8153" w:type="dxa"/>
            <w:gridSpan w:val="4"/>
            <w:tcBorders>
              <w:top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cs="Arial" w:ascii="Arial" w:hAnsi="Arial"/>
                <w:b/>
                <w:bCs/>
                <w:color w:val="000000"/>
                <w:sz w:val="20"/>
                <w:szCs w:val="20"/>
                <w:shd w:fill="auto" w:val="clear"/>
              </w:rPr>
              <w:t>Ardymo darbai</w:t>
            </w:r>
          </w:p>
        </w:tc>
        <w:tc>
          <w:tcPr>
            <w:tcW w:w="1470" w:type="dxa"/>
            <w:tcBorders>
              <w:top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2.</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1.1</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shd w:fill="auto" w:val="clear"/>
              </w:rPr>
              <w:t>Bordiūrų (šaligatvio, kelio bortų) ardymas</w:t>
            </w:r>
          </w:p>
        </w:tc>
        <w:tc>
          <w:tcPr>
            <w:tcW w:w="10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AB-01</w:t>
            </w:r>
          </w:p>
        </w:tc>
        <w:tc>
          <w:tcPr>
            <w:tcW w:w="7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m</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3739,90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shd w:fill="auto" w:val="clear"/>
                <w:lang w:eastAsia="lt-LT"/>
              </w:rPr>
              <w:t>Asfalto dangos ardymas su pagrindais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AA-01</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m</w:t>
            </w:r>
            <w:r>
              <w:rPr>
                <w:rFonts w:cs="Arial" w:ascii="Arial" w:hAnsi="Arial"/>
                <w:color w:val="auto"/>
                <w:sz w:val="20"/>
                <w:szCs w:val="20"/>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19 612,30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shd w:fill="auto" w:val="clear"/>
                <w:lang w:eastAsia="lt-LT"/>
              </w:rPr>
              <w:t>Betoninių plytelių ardymas (šaligatviai, rytinė tribūna (1c1m) su pagrindais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AB-01</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m</w:t>
            </w:r>
            <w:r>
              <w:rPr>
                <w:rFonts w:cs="Arial" w:ascii="Arial" w:hAnsi="Arial"/>
                <w:color w:val="auto"/>
                <w:sz w:val="20"/>
                <w:szCs w:val="20"/>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6562,10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shd w:fill="auto" w:val="clear"/>
                <w:lang w:eastAsia="lt-LT"/>
              </w:rPr>
              <w:t>Ardoma žvyro takų danga su pagrindais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AŽ-01</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m</w:t>
            </w:r>
            <w:r>
              <w:rPr>
                <w:rFonts w:cs="Arial" w:ascii="Arial" w:hAnsi="Arial"/>
                <w:color w:val="auto"/>
                <w:sz w:val="20"/>
                <w:szCs w:val="20"/>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153,10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Išmontuojami pastatomi parkiniai suolai su pamatais (gražinami sąvininkui)</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AS1-00</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Išmontuojami kelio ženkai su pamatais(grąžinami savininkui)</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AKŽ-00</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302"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000000"/>
                <w:sz w:val="20"/>
                <w:szCs w:val="20"/>
                <w:shd w:fill="auto" w:val="clear"/>
              </w:rPr>
              <w:t>Išmontuojamos esamos vandens stotelės su pamatais(grąžinamos sąvininkui)</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AVS-00</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1.8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Šalinami medžiai su kelmais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ŠM-00</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34</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Išmontuojami parkiniai šviestuvai su pamatais (grąžinami savininkui)</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AŠ-00</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70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1.10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Išmontuojami vėliavų stulpai su pamatais (grąžinami savininkui)</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AV-00</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Išmontuojami metaliniai stulpeliai su pamatais (grąžinami savininkui)</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AS-00</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4</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Išmontuojami esami dviračių stovai su pamatais (grąžinami savininkui)</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AD-00</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6</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Išmontuojamo šiukšliadėžės su pamataisd (grąžinamos savininkiu)</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AK-00</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Skulptūrų perkėlimas. Statybos darbų metu saugomos, vėliau grąžinamos į nurodytą vietą</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SS-00</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418" w:hRule="atLeast"/>
        </w:trPr>
        <w:tc>
          <w:tcPr>
            <w:tcW w:w="867" w:type="dxa"/>
            <w:tcBorders>
              <w:top w:val="single" w:sz="4" w:space="0" w:color="000000"/>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rPr>
              <w:t>2</w:t>
            </w:r>
          </w:p>
        </w:tc>
        <w:tc>
          <w:tcPr>
            <w:tcW w:w="8153" w:type="dxa"/>
            <w:gridSpan w:val="4"/>
            <w:tcBorders>
              <w:top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i w:val="false"/>
                <w:strike w:val="false"/>
                <w:dstrike w:val="false"/>
                <w:color w:val="000000"/>
                <w:sz w:val="20"/>
                <w:szCs w:val="20"/>
                <w:u w:val="none"/>
                <w:shd w:fill="auto" w:val="clear"/>
              </w:rPr>
              <w:t>Žemės darbai</w:t>
            </w:r>
          </w:p>
        </w:tc>
        <w:tc>
          <w:tcPr>
            <w:tcW w:w="1470" w:type="dxa"/>
            <w:tcBorders>
              <w:top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3.2</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highlight w:val="none"/>
                <w:shd w:fill="BDBC93" w:val="clear"/>
              </w:rPr>
            </w:pPr>
            <w:r>
              <w:rPr>
                <w:rFonts w:cs="Arial" w:ascii="Arial" w:hAnsi="Arial"/>
                <w:color w:val="000000"/>
                <w:sz w:val="20"/>
                <w:szCs w:val="20"/>
                <w:shd w:fill="BDBC93" w:val="clear"/>
              </w:rPr>
              <w:t>2.1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highlight w:val="none"/>
                <w:shd w:fill="BDBC93" w:val="clear"/>
              </w:rPr>
            </w:pPr>
            <w:r>
              <w:rPr>
                <w:rFonts w:cs="Arial" w:ascii="Arial" w:hAnsi="Arial"/>
                <w:color w:val="000000"/>
                <w:sz w:val="20"/>
                <w:szCs w:val="20"/>
                <w:shd w:fill="BDBC93" w:val="clear"/>
              </w:rPr>
              <w:t>Statybos darbų atliekų išvežimas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rPr>
                <w:rFonts w:ascii="Arial" w:hAnsi="Arial" w:cs="Arial"/>
                <w:color w:val="auto"/>
                <w:sz w:val="20"/>
                <w:szCs w:val="20"/>
                <w:highlight w:val="none"/>
                <w:shd w:fill="BDBC93" w:val="clear"/>
              </w:rPr>
            </w:pPr>
            <w:r>
              <w:rPr>
                <w:rFonts w:cs="Arial" w:ascii="Arial" w:hAnsi="Arial"/>
                <w:color w:val="auto"/>
                <w:sz w:val="20"/>
                <w:szCs w:val="20"/>
                <w:shd w:fill="BDBC93" w:val="clear"/>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highlight w:val="none"/>
                <w:shd w:fill="BDBC93" w:val="clear"/>
              </w:rPr>
            </w:pPr>
            <w:r>
              <w:rPr>
                <w:rFonts w:cs="Arial" w:ascii="Arial" w:hAnsi="Arial"/>
                <w:color w:val="000000"/>
                <w:sz w:val="20"/>
                <w:szCs w:val="20"/>
                <w:shd w:fill="BDBC93" w:val="clear"/>
                <w:lang w:eastAsia="lt-LT"/>
              </w:rPr>
              <w:t>m</w:t>
            </w:r>
            <w:r>
              <w:rPr>
                <w:rFonts w:cs="Arial" w:ascii="Arial" w:hAnsi="Arial"/>
                <w:color w:val="000000"/>
                <w:sz w:val="20"/>
                <w:szCs w:val="20"/>
                <w:shd w:fill="BDBC93"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highlight w:val="none"/>
                <w:shd w:fill="BDBC93" w:val="clear"/>
              </w:rPr>
            </w:pPr>
            <w:r>
              <w:rPr>
                <w:rFonts w:cs="Arial" w:ascii="Arial" w:hAnsi="Arial"/>
                <w:b/>
                <w:bCs/>
                <w:color w:val="000000"/>
                <w:sz w:val="20"/>
                <w:szCs w:val="20"/>
                <w:shd w:fill="BDBC93" w:val="clear"/>
              </w:rPr>
              <w:t>7387,38*</w:t>
            </w:r>
            <w:r>
              <w:rPr>
                <w:rFonts w:cs="Arial" w:ascii="Arial" w:hAnsi="Arial"/>
                <w:color w:val="000000"/>
                <w:sz w:val="20"/>
                <w:szCs w:val="20"/>
                <w:shd w:fill="BDBC93" w:val="clear"/>
              </w:rPr>
              <w:t xml:space="preserve"> (atliekos išvežamos ~10 km)</w:t>
            </w:r>
          </w:p>
        </w:tc>
        <w:tc>
          <w:tcPr>
            <w:tcW w:w="1470"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highlight w:val="none"/>
                <w:shd w:fill="BDBC93" w:val="clear"/>
              </w:rPr>
            </w:pPr>
            <w:r>
              <w:rPr>
                <w:rFonts w:cs="Arial" w:ascii="Arial" w:hAnsi="Arial"/>
                <w:color w:val="000000"/>
                <w:sz w:val="20"/>
                <w:szCs w:val="20"/>
                <w:shd w:fill="BDBC93" w:val="clear"/>
              </w:rPr>
              <w:t>3.2.</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Šlaito formavimas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NG-01</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4770,00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3.2.</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2.3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rPr>
              <w:t>Dekoratyviniai želdiniai:</w:t>
            </w:r>
          </w:p>
          <w:p>
            <w:pPr>
              <w:pStyle w:val="Normal"/>
              <w:widowControl w:val="false"/>
              <w:spacing w:lineRule="auto" w:line="240" w:before="0" w:after="0"/>
              <w:rPr>
                <w:rFonts w:ascii="Arial" w:hAnsi="Arial" w:cs="Arial"/>
                <w:color w:val="auto"/>
                <w:sz w:val="20"/>
                <w:szCs w:val="20"/>
                <w:shd w:fill="auto" w:val="clear"/>
              </w:rPr>
            </w:pPr>
            <w:r>
              <w:rPr>
                <w:rFonts w:cs="Arial" w:ascii="Arial" w:hAnsi="Arial"/>
                <w:color w:val="auto"/>
                <w:sz w:val="20"/>
                <w:szCs w:val="20"/>
                <w:shd w:fill="auto" w:val="clear"/>
              </w:rPr>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DŽ-01</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2010,00</w:t>
            </w:r>
          </w:p>
        </w:tc>
        <w:tc>
          <w:tcPr>
            <w:tcW w:w="1470"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18"/>
                <w:szCs w:val="18"/>
              </w:rPr>
              <w:t>5.</w:t>
            </w:r>
          </w:p>
          <w:p>
            <w:pPr>
              <w:pStyle w:val="Normal"/>
              <w:widowControl w:val="false"/>
              <w:spacing w:lineRule="auto" w:line="240" w:before="0" w:after="0"/>
              <w:jc w:val="center"/>
              <w:rPr>
                <w:color w:val="auto"/>
              </w:rPr>
            </w:pPr>
            <w:r>
              <w:rPr>
                <w:rFonts w:cs="Arial" w:ascii="Arial" w:hAnsi="Arial"/>
                <w:b w:val="false"/>
                <w:bCs w:val="false"/>
                <w:color w:val="auto"/>
                <w:sz w:val="18"/>
                <w:szCs w:val="18"/>
              </w:rPr>
              <w:t>Daugiamečiai žoliniai augalai, gėlės, krūmai.</w:t>
            </w:r>
          </w:p>
          <w:p>
            <w:pPr>
              <w:pStyle w:val="Normal"/>
              <w:widowControl w:val="false"/>
              <w:spacing w:lineRule="auto" w:line="240" w:before="0" w:after="0"/>
              <w:jc w:val="center"/>
              <w:rPr>
                <w:color w:val="auto"/>
              </w:rPr>
            </w:pPr>
            <w:r>
              <w:rPr>
                <w:rFonts w:cs="Arial" w:ascii="Arial" w:hAnsi="Arial"/>
                <w:b w:val="false"/>
                <w:bCs w:val="false"/>
                <w:i/>
                <w:iCs/>
                <w:color w:val="000000"/>
                <w:sz w:val="18"/>
                <w:szCs w:val="18"/>
                <w:shd w:fill="auto" w:val="clear"/>
              </w:rPr>
              <w:t>Detalizaciją  žr. Priede Nr. 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Veja:</w:t>
            </w:r>
          </w:p>
          <w:p>
            <w:pPr>
              <w:pStyle w:val="Normal"/>
              <w:widowControl w:val="false"/>
              <w:spacing w:lineRule="auto" w:line="240" w:before="0" w:after="0"/>
              <w:rPr>
                <w:color w:val="auto"/>
              </w:rPr>
            </w:pPr>
            <w:r>
              <w:rPr>
                <w:rFonts w:cs="Arial" w:ascii="Arial" w:hAnsi="Arial"/>
                <w:color w:val="000000"/>
                <w:sz w:val="20"/>
                <w:szCs w:val="20"/>
                <w:shd w:fill="auto" w:val="clear"/>
              </w:rPr>
              <w:t>DŽ-02A</w:t>
            </w:r>
          </w:p>
          <w:p>
            <w:pPr>
              <w:pStyle w:val="Normal"/>
              <w:widowControl w:val="false"/>
              <w:spacing w:lineRule="auto" w:line="240" w:before="0" w:after="0"/>
              <w:rPr>
                <w:color w:val="auto"/>
              </w:rPr>
            </w:pPr>
            <w:r>
              <w:rPr>
                <w:rFonts w:cs="Arial" w:ascii="Arial" w:hAnsi="Arial"/>
                <w:color w:val="000000"/>
                <w:sz w:val="20"/>
                <w:szCs w:val="20"/>
                <w:shd w:fill="auto" w:val="clear"/>
              </w:rPr>
              <w:t>Vejos sėklų mišinys atsėjimui (50% raudonųjų</w:t>
            </w:r>
          </w:p>
          <w:p>
            <w:pPr>
              <w:pStyle w:val="Normal"/>
              <w:widowControl w:val="false"/>
              <w:spacing w:lineRule="auto" w:line="240" w:before="0" w:after="0"/>
              <w:rPr>
                <w:color w:val="auto"/>
              </w:rPr>
            </w:pPr>
            <w:r>
              <w:rPr>
                <w:rFonts w:cs="Arial" w:ascii="Arial" w:hAnsi="Arial"/>
                <w:color w:val="000000"/>
                <w:sz w:val="20"/>
                <w:szCs w:val="20"/>
                <w:shd w:fill="auto" w:val="clear"/>
              </w:rPr>
              <w:t>ilgašakniastiebinių eraičinų 30% daugiamečių svidrių (Quick Action), 15% vienmečių vejinių svidrių, 5% pievinių miglių) (~ 68 kg, 3 kg/a);</w:t>
            </w:r>
          </w:p>
          <w:p>
            <w:pPr>
              <w:pStyle w:val="Normal"/>
              <w:widowControl w:val="false"/>
              <w:spacing w:lineRule="auto" w:line="240" w:before="0" w:after="0"/>
              <w:rPr>
                <w:color w:val="auto"/>
              </w:rPr>
            </w:pPr>
            <w:r>
              <w:rPr>
                <w:rFonts w:cs="Arial" w:ascii="Arial" w:hAnsi="Arial"/>
                <w:color w:val="000000"/>
                <w:sz w:val="20"/>
                <w:szCs w:val="20"/>
                <w:shd w:fill="auto" w:val="clear"/>
              </w:rPr>
              <w:t>DŽ-02B</w:t>
            </w:r>
          </w:p>
          <w:p>
            <w:pPr>
              <w:pStyle w:val="Normal"/>
              <w:widowControl w:val="false"/>
              <w:spacing w:lineRule="auto" w:line="240" w:before="0" w:after="0"/>
              <w:rPr>
                <w:color w:val="auto"/>
              </w:rPr>
            </w:pPr>
            <w:r>
              <w:rPr>
                <w:rFonts w:cs="Arial" w:ascii="Arial" w:hAnsi="Arial"/>
                <w:color w:val="000000"/>
                <w:sz w:val="20"/>
                <w:szCs w:val="20"/>
                <w:shd w:fill="auto" w:val="clear"/>
              </w:rPr>
              <w:t>Vejos sėklų mišinys rekonstrukcijai (25% daugiametės</w:t>
            </w:r>
          </w:p>
          <w:p>
            <w:pPr>
              <w:pStyle w:val="Normal"/>
              <w:widowControl w:val="false"/>
              <w:spacing w:lineRule="auto" w:line="240" w:before="0" w:after="0"/>
              <w:rPr>
                <w:color w:val="auto"/>
              </w:rPr>
            </w:pPr>
            <w:r>
              <w:rPr>
                <w:rFonts w:cs="Arial" w:ascii="Arial" w:hAnsi="Arial"/>
                <w:color w:val="000000"/>
                <w:sz w:val="20"/>
                <w:szCs w:val="20"/>
                <w:shd w:fill="auto" w:val="clear"/>
              </w:rPr>
              <w:t>svidrės, 30% eraičinsvidrės, 40% raudonieji</w:t>
            </w:r>
          </w:p>
          <w:p>
            <w:pPr>
              <w:pStyle w:val="Normal"/>
              <w:widowControl w:val="false"/>
              <w:spacing w:lineRule="auto" w:line="240" w:before="0" w:after="0"/>
              <w:rPr>
                <w:color w:val="auto"/>
              </w:rPr>
            </w:pPr>
            <w:r>
              <w:rPr>
                <w:rFonts w:cs="Arial" w:ascii="Arial" w:hAnsi="Arial"/>
                <w:color w:val="000000"/>
                <w:sz w:val="20"/>
                <w:szCs w:val="20"/>
                <w:shd w:fill="auto" w:val="clear"/>
              </w:rPr>
              <w:t>ilgašakniastiebiai eraičinai, 5% pievinės miglės) (~175 kg, 3 kg/a).</w:t>
            </w:r>
          </w:p>
          <w:p>
            <w:pPr>
              <w:pStyle w:val="Normal"/>
              <w:widowControl w:val="false"/>
              <w:spacing w:lineRule="auto" w:line="240" w:before="0" w:after="0"/>
              <w:rPr>
                <w:color w:val="auto"/>
              </w:rPr>
            </w:pPr>
            <w:r>
              <w:rPr>
                <w:rFonts w:cs="Arial" w:ascii="Arial" w:hAnsi="Arial"/>
                <w:i/>
                <w:iCs/>
                <w:color w:val="000000"/>
                <w:sz w:val="20"/>
                <w:szCs w:val="20"/>
                <w:shd w:fill="auto" w:val="clear"/>
              </w:rPr>
              <w:t>Pastaba: Vejos įrengimui reikalingas grunto papildymas</w:t>
            </w:r>
            <w:r>
              <w:rPr>
                <w:rFonts w:cs="Arial" w:ascii="Arial" w:hAnsi="Arial"/>
                <w:b w:val="false"/>
                <w:bCs w:val="false"/>
                <w:i/>
                <w:iCs/>
                <w:color w:val="000000"/>
                <w:sz w:val="18"/>
                <w:szCs w:val="18"/>
                <w:shd w:fill="auto" w:val="clear"/>
              </w:rPr>
              <w:t xml:space="preserve"> (Žr. TS 5 Želdynai) ~20 cm/m</w:t>
            </w:r>
            <w:r>
              <w:rPr>
                <w:rFonts w:cs="Arial" w:ascii="Arial" w:hAnsi="Arial"/>
                <w:b w:val="false"/>
                <w:bCs w:val="false"/>
                <w:i/>
                <w:iCs/>
                <w:color w:val="000000"/>
                <w:sz w:val="18"/>
                <w:szCs w:val="18"/>
                <w:shd w:fill="auto" w:val="clear"/>
                <w:vertAlign w:val="superscript"/>
              </w:rPr>
              <w:t xml:space="preserve">2 </w:t>
            </w:r>
            <w:r>
              <w:rPr>
                <w:rFonts w:cs="Arial" w:ascii="Arial" w:hAnsi="Arial"/>
                <w:b w:val="false"/>
                <w:bCs w:val="false"/>
                <w:i/>
                <w:iCs/>
                <w:color w:val="000000"/>
                <w:position w:val="0"/>
                <w:sz w:val="18"/>
                <w:sz w:val="18"/>
                <w:szCs w:val="18"/>
                <w:shd w:fill="auto" w:val="clear"/>
                <w:vertAlign w:val="baseline"/>
              </w:rPr>
              <w:t>(viso skaičiuojama ~ 2290 m</w:t>
            </w:r>
            <w:r>
              <w:rPr>
                <w:rFonts w:cs="Arial" w:ascii="Arial" w:hAnsi="Arial"/>
                <w:b w:val="false"/>
                <w:bCs w:val="false"/>
                <w:i/>
                <w:iCs/>
                <w:color w:val="000000"/>
                <w:sz w:val="18"/>
                <w:szCs w:val="18"/>
                <w:shd w:fill="auto" w:val="clear"/>
                <w:vertAlign w:val="superscript"/>
              </w:rPr>
              <w:t>3</w:t>
            </w:r>
            <w:r>
              <w:rPr>
                <w:rFonts w:cs="Arial" w:ascii="Arial" w:hAnsi="Arial"/>
                <w:b w:val="false"/>
                <w:bCs w:val="false"/>
                <w:i/>
                <w:iCs/>
                <w:color w:val="000000"/>
                <w:position w:val="0"/>
                <w:sz w:val="18"/>
                <w:sz w:val="18"/>
                <w:szCs w:val="18"/>
                <w:shd w:fill="auto" w:val="clear"/>
                <w:vertAlign w:val="baseline"/>
              </w:rPr>
              <w:t>)</w:t>
            </w:r>
          </w:p>
          <w:p>
            <w:pPr>
              <w:pStyle w:val="Normal"/>
              <w:widowControl w:val="false"/>
              <w:spacing w:lineRule="auto" w:line="240" w:before="0" w:after="0"/>
              <w:rPr>
                <w:color w:val="auto"/>
              </w:rPr>
            </w:pPr>
            <w:r>
              <w:rPr>
                <w:color w:val="auto"/>
              </w:rPr>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DŽ-02</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8100,00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5.</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Ruloninė veja</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DŽ-03</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1890,00</w:t>
            </w:r>
          </w:p>
        </w:tc>
        <w:tc>
          <w:tcPr>
            <w:tcW w:w="1470"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18"/>
                <w:szCs w:val="18"/>
              </w:rPr>
              <w:t>3.2.</w:t>
            </w:r>
          </w:p>
          <w:p>
            <w:pPr>
              <w:pStyle w:val="Normal"/>
              <w:widowControl w:val="false"/>
              <w:spacing w:lineRule="auto" w:line="240" w:before="0" w:after="0"/>
              <w:jc w:val="center"/>
              <w:rPr>
                <w:color w:val="auto"/>
              </w:rPr>
            </w:pPr>
            <w:r>
              <w:rPr>
                <w:rFonts w:cs="Arial" w:ascii="Arial" w:hAnsi="Arial"/>
                <w:color w:val="auto"/>
                <w:sz w:val="18"/>
                <w:szCs w:val="18"/>
              </w:rPr>
              <w:t>Žiūrovinės dalies šlaite</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2.6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Priešerozinis paklotas šlaitų tvirtinimui</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color w:val="auto"/>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7000,00</w:t>
            </w:r>
          </w:p>
        </w:tc>
        <w:tc>
          <w:tcPr>
            <w:tcW w:w="1470"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16"/>
                <w:szCs w:val="16"/>
              </w:rPr>
              <w:t>3.2., 5.</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2.7.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Naujai sodinami medžiai</w:t>
            </w:r>
          </w:p>
        </w:tc>
        <w:tc>
          <w:tcPr>
            <w:tcW w:w="1016"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s="Arial"/>
                <w:color w:val="auto"/>
                <w:sz w:val="20"/>
                <w:szCs w:val="20"/>
                <w:highlight w:val="none"/>
                <w:shd w:fill="auto" w:val="clear"/>
              </w:rPr>
            </w:pPr>
            <w:r>
              <w:rPr>
                <w:rFonts w:cs="Arial" w:ascii="Arial" w:hAnsi="Arial"/>
                <w:color w:val="auto"/>
                <w:sz w:val="20"/>
                <w:szCs w:val="20"/>
                <w:shd w:fill="auto" w:val="clear"/>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52</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18"/>
                <w:szCs w:val="18"/>
                <w:shd w:fill="auto" w:val="clear"/>
              </w:rPr>
              <w:t>5.</w:t>
            </w:r>
          </w:p>
          <w:p>
            <w:pPr>
              <w:pStyle w:val="Normal"/>
              <w:widowControl w:val="false"/>
              <w:spacing w:lineRule="auto" w:line="240" w:before="0" w:after="0"/>
              <w:jc w:val="center"/>
              <w:rPr>
                <w:color w:val="auto"/>
              </w:rPr>
            </w:pPr>
            <w:r>
              <w:rPr>
                <w:rFonts w:cs="Arial" w:ascii="Arial" w:hAnsi="Arial"/>
                <w:b w:val="false"/>
                <w:bCs w:val="false"/>
                <w:i/>
                <w:iCs/>
                <w:color w:val="000000"/>
                <w:sz w:val="18"/>
                <w:szCs w:val="18"/>
                <w:shd w:fill="auto" w:val="clear"/>
              </w:rPr>
              <w:t>Detalizaciją  žr. Priede Nr. 1</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000000"/>
                <w:sz w:val="20"/>
                <w:szCs w:val="20"/>
                <w:shd w:fill="auto" w:val="clear"/>
              </w:rPr>
              <w:t>3.1.</w:t>
            </w:r>
          </w:p>
        </w:tc>
        <w:tc>
          <w:tcPr>
            <w:tcW w:w="8153" w:type="dxa"/>
            <w:gridSpan w:val="4"/>
            <w:tcBorders>
              <w:top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cs="Arial" w:ascii="Arial" w:hAnsi="Arial"/>
                <w:b/>
                <w:bCs/>
                <w:color w:val="000000"/>
                <w:sz w:val="20"/>
                <w:szCs w:val="20"/>
                <w:shd w:fill="auto" w:val="clear"/>
              </w:rPr>
              <w:t>Įrengimo darbai</w:t>
            </w:r>
          </w:p>
        </w:tc>
        <w:tc>
          <w:tcPr>
            <w:tcW w:w="1470" w:type="dxa"/>
            <w:tcBorders>
              <w:top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rFonts w:ascii="Arial" w:hAnsi="Arial" w:cs="Arial"/>
                <w:color w:val="auto"/>
                <w:sz w:val="20"/>
                <w:szCs w:val="20"/>
                <w:highlight w:val="none"/>
                <w:shd w:fill="auto" w:val="clear"/>
              </w:rPr>
            </w:pPr>
            <w:r>
              <w:rPr>
                <w:rFonts w:cs="Arial" w:ascii="Arial" w:hAnsi="Arial"/>
                <w:color w:val="auto"/>
                <w:sz w:val="20"/>
                <w:szCs w:val="20"/>
                <w:shd w:fill="auto" w:val="clear"/>
              </w:rPr>
            </w:r>
          </w:p>
        </w:tc>
      </w:tr>
      <w:tr>
        <w:trPr>
          <w:trHeight w:val="17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vejos bortas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BG-01</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1885,00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kelio bortas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BG-02</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2170,00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kelio bortas (apvalintas)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BG-03</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745,00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BGR-01</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5,00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BGR-02</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19,00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BGR-03</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62,00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BGR-04</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328"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BGR-05</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BGR-06</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BGR-07</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25,00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BGR-08</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16,00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BGR-09</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20,00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vejos bortas (lenktas)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BGR-10</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vejos bortas (lenktas)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BGR-11</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7,00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vejos bortas (lenktas)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BGR-12</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31,00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vejos bortas (lenktas)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BGR-13</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9,00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6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vejos bortas (lenktas)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BGR-14</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18,00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Metalinis vejos bortas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BM-01</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640,00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119"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3.1.19</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Betoninių trinkelių danga d-80mm (100x100 mm)</w:t>
            </w:r>
          </w:p>
        </w:tc>
        <w:tc>
          <w:tcPr>
            <w:tcW w:w="10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DB-1</w:t>
            </w:r>
          </w:p>
        </w:tc>
        <w:tc>
          <w:tcPr>
            <w:tcW w:w="7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9111,00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3.5.1.</w:t>
            </w:r>
          </w:p>
          <w:p>
            <w:pPr>
              <w:pStyle w:val="Normal"/>
              <w:widowControl w:val="false"/>
              <w:spacing w:before="0" w:after="0"/>
              <w:jc w:val="center"/>
              <w:rPr>
                <w:color w:val="auto"/>
              </w:rPr>
            </w:pPr>
            <w:r>
              <w:rPr>
                <w:rFonts w:cs="Arial" w:ascii="Arial" w:hAnsi="Arial"/>
                <w:color w:val="auto"/>
                <w:sz w:val="20"/>
                <w:szCs w:val="20"/>
              </w:rPr>
              <w:t>3.6.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3.1.20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Betoninių trinkelių danga (ažūrinė) d-80mm (200x70 mm)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DB-2</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1990,00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3.5.1.</w:t>
            </w:r>
          </w:p>
          <w:p>
            <w:pPr>
              <w:pStyle w:val="Normal"/>
              <w:widowControl w:val="false"/>
              <w:spacing w:before="0" w:after="0"/>
              <w:jc w:val="center"/>
              <w:rPr>
                <w:color w:val="auto"/>
              </w:rPr>
            </w:pPr>
            <w:r>
              <w:rPr>
                <w:rFonts w:cs="Arial" w:ascii="Arial" w:hAnsi="Arial"/>
                <w:color w:val="auto"/>
                <w:sz w:val="20"/>
                <w:szCs w:val="20"/>
              </w:rPr>
              <w:t>3.6.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3.1.21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Granitinių plytelių danga, d-80 mm (200x100 mm)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DG-01</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2148,20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3.5.2.</w:t>
            </w:r>
          </w:p>
          <w:p>
            <w:pPr>
              <w:pStyle w:val="Normal"/>
              <w:widowControl w:val="false"/>
              <w:spacing w:before="0" w:after="0"/>
              <w:jc w:val="center"/>
              <w:rPr>
                <w:color w:val="auto"/>
              </w:rPr>
            </w:pPr>
            <w:r>
              <w:rPr>
                <w:rFonts w:cs="Arial" w:ascii="Arial" w:hAnsi="Arial"/>
                <w:color w:val="auto"/>
                <w:sz w:val="20"/>
                <w:szCs w:val="20"/>
              </w:rPr>
              <w:t>3.6.</w:t>
            </w:r>
          </w:p>
        </w:tc>
      </w:tr>
      <w:tr>
        <w:trPr>
          <w:trHeight w:val="35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3.1.22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Granitinių plokščių danga, d-60 mm (1000x1000 mm)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DG-02</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1109,00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3.5.2.</w:t>
            </w:r>
          </w:p>
          <w:p>
            <w:pPr>
              <w:pStyle w:val="Normal"/>
              <w:widowControl w:val="false"/>
              <w:spacing w:before="0" w:after="0"/>
              <w:jc w:val="center"/>
              <w:rPr>
                <w:color w:val="auto"/>
              </w:rPr>
            </w:pPr>
            <w:r>
              <w:rPr>
                <w:rFonts w:cs="Arial" w:ascii="Arial" w:hAnsi="Arial"/>
                <w:color w:val="auto"/>
                <w:sz w:val="20"/>
                <w:szCs w:val="20"/>
              </w:rPr>
              <w:t>3.6.</w:t>
            </w:r>
          </w:p>
        </w:tc>
      </w:tr>
      <w:tr>
        <w:trPr>
          <w:trHeight w:val="23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3.1.23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Granitinių plokščių danga, d - 60 (500x500 mm)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DG-03</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666,00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3.5.2.</w:t>
            </w:r>
          </w:p>
          <w:p>
            <w:pPr>
              <w:pStyle w:val="Normal"/>
              <w:widowControl w:val="false"/>
              <w:spacing w:before="0" w:after="0"/>
              <w:jc w:val="center"/>
              <w:rPr>
                <w:color w:val="auto"/>
              </w:rPr>
            </w:pPr>
            <w:r>
              <w:rPr>
                <w:rFonts w:cs="Arial" w:ascii="Arial" w:hAnsi="Arial"/>
                <w:color w:val="auto"/>
                <w:sz w:val="20"/>
                <w:szCs w:val="20"/>
              </w:rPr>
              <w:t>3.6.</w:t>
            </w:r>
          </w:p>
        </w:tc>
      </w:tr>
      <w:tr>
        <w:trPr>
          <w:trHeight w:val="23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3.1.24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Granitinių plokščių danga, d - 50  (500x500 mm)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DG-04</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351,00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3.5.2.</w:t>
            </w:r>
          </w:p>
          <w:p>
            <w:pPr>
              <w:pStyle w:val="Normal"/>
              <w:widowControl w:val="false"/>
              <w:spacing w:before="0" w:after="0"/>
              <w:jc w:val="center"/>
              <w:rPr>
                <w:color w:val="auto"/>
              </w:rPr>
            </w:pPr>
            <w:r>
              <w:rPr>
                <w:rFonts w:cs="Arial" w:ascii="Arial" w:hAnsi="Arial"/>
                <w:color w:val="auto"/>
                <w:sz w:val="20"/>
                <w:szCs w:val="20"/>
              </w:rPr>
              <w:t>3.6.</w:t>
            </w:r>
          </w:p>
        </w:tc>
      </w:tr>
      <w:tr>
        <w:trPr>
          <w:trHeight w:val="23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b w:val="false"/>
                <w:bCs w:val="false"/>
                <w:color w:val="auto"/>
              </w:rPr>
            </w:pPr>
            <w:r>
              <w:rPr>
                <w:rFonts w:ascii="Arial" w:hAnsi="Arial"/>
                <w:b w:val="false"/>
                <w:bCs w:val="false"/>
                <w:color w:val="auto"/>
                <w:sz w:val="20"/>
                <w:szCs w:val="20"/>
              </w:rPr>
              <w:t>3.1.25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b w:val="false"/>
                <w:bCs w:val="false"/>
                <w:color w:val="auto"/>
              </w:rPr>
            </w:pPr>
            <w:r>
              <w:rPr>
                <w:rFonts w:ascii="Arial" w:hAnsi="Arial"/>
                <w:b w:val="false"/>
                <w:bCs w:val="false"/>
                <w:color w:val="auto"/>
                <w:sz w:val="20"/>
                <w:szCs w:val="20"/>
              </w:rPr>
              <w:t>Granitinių plokščių danga, d- 130 mm (500x300 mm)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b w:val="false"/>
                <w:bCs w:val="false"/>
                <w:color w:val="auto"/>
              </w:rPr>
            </w:pPr>
            <w:r>
              <w:rPr>
                <w:rFonts w:ascii="Arial" w:hAnsi="Arial"/>
                <w:b w:val="false"/>
                <w:bCs w:val="false"/>
                <w:color w:val="auto"/>
                <w:sz w:val="20"/>
                <w:szCs w:val="20"/>
              </w:rPr>
              <w:t>DG-05.1</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b w:val="false"/>
                <w:bCs w:val="false"/>
                <w:color w:val="auto"/>
              </w:rPr>
            </w:pPr>
            <w:r>
              <w:rPr>
                <w:rFonts w:ascii="Arial" w:hAnsi="Arial"/>
                <w:b w:val="false"/>
                <w:bCs w:val="false"/>
                <w:color w:val="auto"/>
                <w:position w:val="0"/>
                <w:sz w:val="20"/>
                <w:sz w:val="20"/>
                <w:szCs w:val="20"/>
                <w:shd w:fill="auto" w:val="clear"/>
                <w:vertAlign w:val="baseline"/>
                <w:lang w:eastAsia="lt-LT"/>
              </w:rPr>
              <w:t>m</w:t>
            </w:r>
            <w:r>
              <w:rPr>
                <w:rFonts w:ascii="Arial" w:hAnsi="Arial"/>
                <w:b w:val="false"/>
                <w:bCs w:val="false"/>
                <w:color w:val="auto"/>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Cs w:val="false"/>
                <w:color w:val="auto"/>
                <w:sz w:val="20"/>
                <w:szCs w:val="20"/>
              </w:rPr>
            </w:pPr>
            <w:r>
              <w:rPr>
                <w:rFonts w:ascii="Arial" w:hAnsi="Arial"/>
                <w:b w:val="false"/>
                <w:bCs w:val="false"/>
                <w:color w:val="auto"/>
                <w:sz w:val="20"/>
                <w:szCs w:val="20"/>
              </w:rPr>
              <w:t>1348,00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b w:val="false"/>
                <w:bCs w:val="false"/>
                <w:color w:val="auto"/>
              </w:rPr>
            </w:pPr>
            <w:r>
              <w:rPr>
                <w:rFonts w:cs="Arial" w:ascii="Arial" w:hAnsi="Arial"/>
                <w:b w:val="false"/>
                <w:bCs w:val="false"/>
                <w:color w:val="auto"/>
                <w:sz w:val="20"/>
                <w:szCs w:val="20"/>
              </w:rPr>
              <w:t>3.5.2.</w:t>
            </w:r>
          </w:p>
          <w:p>
            <w:pPr>
              <w:pStyle w:val="Normal"/>
              <w:widowControl w:val="false"/>
              <w:spacing w:before="0" w:after="0"/>
              <w:jc w:val="center"/>
              <w:rPr>
                <w:b w:val="false"/>
                <w:bCs w:val="false"/>
                <w:color w:val="auto"/>
              </w:rPr>
            </w:pPr>
            <w:r>
              <w:rPr>
                <w:rFonts w:cs="Arial" w:ascii="Arial" w:hAnsi="Arial"/>
                <w:b w:val="false"/>
                <w:bCs w:val="false"/>
                <w:color w:val="auto"/>
                <w:sz w:val="20"/>
                <w:szCs w:val="20"/>
              </w:rPr>
              <w:t>3.6.</w:t>
            </w:r>
          </w:p>
          <w:p>
            <w:pPr>
              <w:pStyle w:val="Normal"/>
              <w:widowControl w:val="false"/>
              <w:spacing w:before="0" w:after="0"/>
              <w:jc w:val="center"/>
              <w:rPr>
                <w:b w:val="false"/>
                <w:bCs w:val="false"/>
                <w:color w:val="auto"/>
              </w:rPr>
            </w:pPr>
            <w:r>
              <w:rPr>
                <w:rFonts w:cs="Arial" w:ascii="Arial" w:hAnsi="Arial"/>
                <w:b w:val="false"/>
                <w:bCs w:val="false"/>
                <w:color w:val="auto"/>
                <w:sz w:val="20"/>
                <w:szCs w:val="20"/>
              </w:rPr>
              <w:t>Rytinė estrada</w:t>
            </w:r>
          </w:p>
        </w:tc>
      </w:tr>
      <w:tr>
        <w:trPr>
          <w:trHeight w:val="23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b w:val="false"/>
                <w:bCs w:val="false"/>
                <w:color w:val="auto"/>
              </w:rPr>
            </w:pPr>
            <w:r>
              <w:rPr>
                <w:rFonts w:ascii="Arial" w:hAnsi="Arial"/>
                <w:b w:val="false"/>
                <w:bCs w:val="false"/>
                <w:color w:val="auto"/>
                <w:sz w:val="20"/>
                <w:szCs w:val="20"/>
              </w:rPr>
              <w:t>3.1.26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b w:val="false"/>
                <w:bCs w:val="false"/>
                <w:color w:val="auto"/>
              </w:rPr>
            </w:pPr>
            <w:r>
              <w:rPr>
                <w:rFonts w:ascii="Arial" w:hAnsi="Arial"/>
                <w:b w:val="false"/>
                <w:bCs w:val="false"/>
                <w:color w:val="auto"/>
                <w:sz w:val="20"/>
                <w:szCs w:val="20"/>
              </w:rPr>
              <w:t>Granitinių plokščių danga, d- 60 mm (500x260 mm)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b w:val="false"/>
                <w:bCs w:val="false"/>
                <w:color w:val="auto"/>
              </w:rPr>
            </w:pPr>
            <w:r>
              <w:rPr>
                <w:rFonts w:ascii="Arial" w:hAnsi="Arial"/>
                <w:b w:val="false"/>
                <w:bCs w:val="false"/>
                <w:color w:val="auto"/>
                <w:sz w:val="20"/>
                <w:szCs w:val="20"/>
              </w:rPr>
              <w:t>DG-05.2</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b w:val="false"/>
                <w:bCs w:val="false"/>
                <w:color w:val="auto"/>
              </w:rPr>
            </w:pPr>
            <w:r>
              <w:rPr>
                <w:rFonts w:ascii="Arial" w:hAnsi="Arial"/>
                <w:b w:val="false"/>
                <w:bCs w:val="false"/>
                <w:color w:val="auto"/>
                <w:position w:val="0"/>
                <w:sz w:val="20"/>
                <w:sz w:val="20"/>
                <w:szCs w:val="20"/>
                <w:shd w:fill="auto" w:val="clear"/>
                <w:vertAlign w:val="baseline"/>
                <w:lang w:eastAsia="lt-LT"/>
              </w:rPr>
              <w:t>m</w:t>
            </w:r>
            <w:r>
              <w:rPr>
                <w:rFonts w:ascii="Arial" w:hAnsi="Arial"/>
                <w:b w:val="false"/>
                <w:bCs w:val="false"/>
                <w:color w:val="auto"/>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Cs w:val="false"/>
                <w:color w:val="auto"/>
                <w:sz w:val="20"/>
                <w:szCs w:val="20"/>
              </w:rPr>
            </w:pPr>
            <w:r>
              <w:rPr>
                <w:rFonts w:ascii="Arial" w:hAnsi="Arial"/>
                <w:b w:val="false"/>
                <w:bCs w:val="false"/>
                <w:color w:val="auto"/>
                <w:sz w:val="20"/>
                <w:szCs w:val="20"/>
              </w:rPr>
            </w:r>
          </w:p>
          <w:p>
            <w:pPr>
              <w:pStyle w:val="Normal"/>
              <w:widowControl w:val="false"/>
              <w:spacing w:lineRule="auto" w:line="240" w:before="0" w:after="0"/>
              <w:jc w:val="center"/>
              <w:rPr>
                <w:rFonts w:ascii="Arial" w:hAnsi="Arial"/>
                <w:b w:val="false"/>
                <w:bCs w:val="false"/>
                <w:color w:val="auto"/>
                <w:sz w:val="20"/>
                <w:szCs w:val="20"/>
              </w:rPr>
            </w:pPr>
            <w:r>
              <w:rPr>
                <w:rFonts w:ascii="Arial" w:hAnsi="Arial"/>
                <w:b w:val="false"/>
                <w:bCs w:val="false"/>
                <w:color w:val="auto"/>
                <w:sz w:val="20"/>
                <w:szCs w:val="20"/>
              </w:rPr>
              <w:t>2247,00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b w:val="false"/>
                <w:bCs w:val="false"/>
                <w:color w:val="auto"/>
              </w:rPr>
            </w:pPr>
            <w:r>
              <w:rPr>
                <w:rFonts w:cs="Arial" w:ascii="Arial" w:hAnsi="Arial"/>
                <w:b w:val="false"/>
                <w:bCs w:val="false"/>
                <w:color w:val="auto"/>
                <w:sz w:val="20"/>
                <w:szCs w:val="20"/>
              </w:rPr>
              <w:t>3.5.2.</w:t>
            </w:r>
          </w:p>
          <w:p>
            <w:pPr>
              <w:pStyle w:val="Normal"/>
              <w:widowControl w:val="false"/>
              <w:spacing w:before="0" w:after="0"/>
              <w:jc w:val="center"/>
              <w:rPr>
                <w:b w:val="false"/>
                <w:bCs w:val="false"/>
                <w:color w:val="auto"/>
              </w:rPr>
            </w:pPr>
            <w:r>
              <w:rPr>
                <w:rFonts w:cs="Arial" w:ascii="Arial" w:hAnsi="Arial"/>
                <w:b w:val="false"/>
                <w:bCs w:val="false"/>
                <w:color w:val="auto"/>
                <w:sz w:val="20"/>
                <w:szCs w:val="20"/>
              </w:rPr>
              <w:t>3.6.</w:t>
            </w:r>
          </w:p>
          <w:p>
            <w:pPr>
              <w:pStyle w:val="Normal"/>
              <w:widowControl w:val="false"/>
              <w:spacing w:before="0" w:after="0"/>
              <w:jc w:val="center"/>
              <w:rPr>
                <w:b w:val="false"/>
                <w:bCs w:val="false"/>
                <w:color w:val="auto"/>
              </w:rPr>
            </w:pPr>
            <w:r>
              <w:rPr>
                <w:rFonts w:cs="Arial" w:ascii="Arial" w:hAnsi="Arial"/>
                <w:b w:val="false"/>
                <w:bCs w:val="false"/>
                <w:color w:val="auto"/>
                <w:sz w:val="20"/>
                <w:szCs w:val="20"/>
              </w:rPr>
              <w:t>Rytinė estrada</w:t>
            </w:r>
          </w:p>
        </w:tc>
      </w:tr>
      <w:tr>
        <w:trPr>
          <w:trHeight w:val="23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b w:val="false"/>
                <w:bCs w:val="false"/>
                <w:color w:val="auto"/>
              </w:rPr>
            </w:pPr>
            <w:r>
              <w:rPr>
                <w:rFonts w:ascii="Arial" w:hAnsi="Arial"/>
                <w:b w:val="false"/>
                <w:bCs w:val="false"/>
                <w:color w:val="auto"/>
                <w:sz w:val="20"/>
                <w:szCs w:val="20"/>
              </w:rPr>
              <w:t>3.1.27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b w:val="false"/>
                <w:bCs w:val="false"/>
                <w:color w:val="auto"/>
              </w:rPr>
            </w:pPr>
            <w:r>
              <w:rPr>
                <w:rFonts w:ascii="Arial" w:hAnsi="Arial"/>
                <w:b w:val="false"/>
                <w:bCs w:val="false"/>
                <w:color w:val="auto"/>
                <w:sz w:val="20"/>
                <w:szCs w:val="20"/>
                <w:shd w:fill="auto" w:val="clear"/>
              </w:rPr>
              <w:t>Granitinių plokščių danga, d- 60 mm (500x245 mm)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b w:val="false"/>
                <w:bCs w:val="false"/>
                <w:color w:val="auto"/>
              </w:rPr>
            </w:pPr>
            <w:r>
              <w:rPr>
                <w:rFonts w:ascii="Arial" w:hAnsi="Arial"/>
                <w:b w:val="false"/>
                <w:bCs w:val="false"/>
                <w:color w:val="auto"/>
                <w:sz w:val="20"/>
                <w:szCs w:val="20"/>
              </w:rPr>
              <w:t>DG-05.3</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b w:val="false"/>
                <w:bCs w:val="false"/>
                <w:color w:val="auto"/>
              </w:rPr>
            </w:pPr>
            <w:r>
              <w:rPr>
                <w:rFonts w:ascii="Arial" w:hAnsi="Arial"/>
                <w:b w:val="false"/>
                <w:bCs w:val="false"/>
                <w:color w:val="auto"/>
                <w:position w:val="0"/>
                <w:sz w:val="20"/>
                <w:sz w:val="20"/>
                <w:szCs w:val="20"/>
                <w:shd w:fill="auto" w:val="clear"/>
                <w:vertAlign w:val="baseline"/>
                <w:lang w:eastAsia="lt-LT"/>
              </w:rPr>
              <w:t>m</w:t>
            </w:r>
            <w:r>
              <w:rPr>
                <w:rFonts w:ascii="Arial" w:hAnsi="Arial"/>
                <w:b w:val="false"/>
                <w:bCs w:val="false"/>
                <w:color w:val="auto"/>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b w:val="false"/>
                <w:bCs w:val="false"/>
                <w:color w:val="auto"/>
              </w:rPr>
            </w:pPr>
            <w:r>
              <w:rPr>
                <w:rFonts w:ascii="Arial" w:hAnsi="Arial"/>
                <w:b w:val="false"/>
                <w:bCs w:val="false"/>
                <w:color w:val="auto"/>
                <w:sz w:val="20"/>
                <w:szCs w:val="20"/>
              </w:rPr>
              <w:t>111,00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b w:val="false"/>
                <w:bCs w:val="false"/>
                <w:color w:val="auto"/>
              </w:rPr>
            </w:pPr>
            <w:r>
              <w:rPr>
                <w:rFonts w:cs="Arial" w:ascii="Arial" w:hAnsi="Arial"/>
                <w:b w:val="false"/>
                <w:bCs w:val="false"/>
                <w:color w:val="auto"/>
                <w:sz w:val="20"/>
                <w:szCs w:val="20"/>
              </w:rPr>
              <w:t>3.5.2.</w:t>
            </w:r>
          </w:p>
          <w:p>
            <w:pPr>
              <w:pStyle w:val="Normal"/>
              <w:widowControl w:val="false"/>
              <w:spacing w:before="0" w:after="0"/>
              <w:jc w:val="center"/>
              <w:rPr>
                <w:b w:val="false"/>
                <w:bCs w:val="false"/>
                <w:color w:val="auto"/>
              </w:rPr>
            </w:pPr>
            <w:r>
              <w:rPr>
                <w:rFonts w:cs="Arial" w:ascii="Arial" w:hAnsi="Arial"/>
                <w:b w:val="false"/>
                <w:bCs w:val="false"/>
                <w:color w:val="auto"/>
                <w:sz w:val="20"/>
                <w:szCs w:val="20"/>
              </w:rPr>
              <w:t>3.6.</w:t>
            </w:r>
          </w:p>
          <w:p>
            <w:pPr>
              <w:pStyle w:val="Normal"/>
              <w:widowControl w:val="false"/>
              <w:spacing w:before="0" w:after="0"/>
              <w:jc w:val="center"/>
              <w:rPr>
                <w:b w:val="false"/>
                <w:bCs w:val="false"/>
                <w:color w:val="auto"/>
              </w:rPr>
            </w:pPr>
            <w:r>
              <w:rPr>
                <w:rFonts w:cs="Arial" w:ascii="Arial" w:hAnsi="Arial"/>
                <w:b w:val="false"/>
                <w:bCs w:val="false"/>
                <w:color w:val="auto"/>
                <w:sz w:val="20"/>
                <w:szCs w:val="20"/>
              </w:rPr>
              <w:t>Rytinė estrada</w:t>
            </w:r>
          </w:p>
        </w:tc>
      </w:tr>
      <w:tr>
        <w:trPr>
          <w:trHeight w:val="23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3.1.28.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000000"/>
                <w:sz w:val="20"/>
                <w:szCs w:val="20"/>
                <w:shd w:fill="auto" w:val="clear"/>
              </w:rPr>
              <w:t>Asfalto danga</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DA-01</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1307,00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3.5.3.</w:t>
            </w:r>
          </w:p>
          <w:p>
            <w:pPr>
              <w:pStyle w:val="Normal"/>
              <w:widowControl w:val="false"/>
              <w:spacing w:before="0" w:after="0"/>
              <w:jc w:val="center"/>
              <w:rPr>
                <w:color w:val="auto"/>
              </w:rPr>
            </w:pPr>
            <w:r>
              <w:rPr>
                <w:rFonts w:cs="Arial" w:ascii="Arial" w:hAnsi="Arial"/>
                <w:color w:val="auto"/>
                <w:sz w:val="20"/>
                <w:szCs w:val="20"/>
              </w:rPr>
              <w:t>3.6.</w:t>
            </w:r>
          </w:p>
        </w:tc>
      </w:tr>
      <w:tr>
        <w:trPr>
          <w:trHeight w:val="138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3.1.29.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 xml:space="preserve">Dirbtinė žaidimų aikštelės danga (10 mm </w:t>
            </w:r>
            <w:r>
              <w:rPr>
                <w:rFonts w:ascii="Arial" w:hAnsi="Arial"/>
                <w:b w:val="false"/>
                <w:i w:val="false"/>
                <w:caps w:val="false"/>
                <w:smallCaps w:val="false"/>
                <w:color w:val="auto"/>
                <w:spacing w:val="0"/>
                <w:sz w:val="20"/>
                <w:szCs w:val="20"/>
              </w:rPr>
              <w:t>viršutinis sluoksnis iš spalvotų EPDM gumos granulių, 90 mm  apatinis sluoksnis iš juodų sbr gumos granulių</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DV-01</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1100,00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3.5.5.</w:t>
            </w:r>
          </w:p>
          <w:p>
            <w:pPr>
              <w:pStyle w:val="Normal"/>
              <w:widowControl w:val="false"/>
              <w:spacing w:before="0" w:after="0"/>
              <w:jc w:val="center"/>
              <w:rPr>
                <w:color w:val="auto"/>
              </w:rPr>
            </w:pPr>
            <w:r>
              <w:rPr>
                <w:rFonts w:cs="Arial" w:ascii="Arial" w:hAnsi="Arial"/>
                <w:color w:val="auto"/>
                <w:sz w:val="20"/>
                <w:szCs w:val="20"/>
              </w:rPr>
              <w:t>Tiekėjas:</w:t>
            </w:r>
          </w:p>
          <w:p>
            <w:pPr>
              <w:pStyle w:val="Normal"/>
              <w:widowControl w:val="false"/>
              <w:spacing w:before="0" w:after="0"/>
              <w:jc w:val="center"/>
              <w:rPr/>
            </w:pPr>
            <w:hyperlink r:id="rId2">
              <w:r>
                <w:rPr>
                  <w:rStyle w:val="Hyperlink"/>
                  <w:rFonts w:cs="Arial" w:ascii="Arial" w:hAnsi="Arial"/>
                  <w:color w:val="auto"/>
                  <w:sz w:val="20"/>
                  <w:szCs w:val="20"/>
                </w:rPr>
                <w:t>https://www.darom.lt/</w:t>
              </w:r>
            </w:hyperlink>
          </w:p>
        </w:tc>
      </w:tr>
      <w:tr>
        <w:trPr>
          <w:trHeight w:val="22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3.1.30.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Metalinis rytinės estrados turėklas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TR-01</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76</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4.1.</w:t>
            </w:r>
          </w:p>
          <w:p>
            <w:pPr>
              <w:pStyle w:val="Normal"/>
              <w:widowControl w:val="false"/>
              <w:spacing w:before="0" w:after="0"/>
              <w:jc w:val="center"/>
              <w:rPr>
                <w:color w:val="auto"/>
              </w:rPr>
            </w:pPr>
            <w:r>
              <w:rPr>
                <w:rFonts w:cs="Arial" w:ascii="Arial" w:hAnsi="Arial"/>
                <w:color w:val="auto"/>
                <w:sz w:val="20"/>
                <w:szCs w:val="20"/>
              </w:rPr>
              <w:t>4.5.</w:t>
            </w:r>
          </w:p>
        </w:tc>
      </w:tr>
      <w:tr>
        <w:trPr>
          <w:trHeight w:val="22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3.1.31.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Metalinis rytinės estrados turėklas su integruota led juosta</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TR-01L</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76</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4.1.</w:t>
            </w:r>
          </w:p>
          <w:p>
            <w:pPr>
              <w:pStyle w:val="Normal"/>
              <w:widowControl w:val="false"/>
              <w:spacing w:before="0" w:after="0"/>
              <w:jc w:val="center"/>
              <w:rPr>
                <w:color w:val="auto"/>
              </w:rPr>
            </w:pPr>
            <w:r>
              <w:rPr>
                <w:rFonts w:cs="Arial" w:ascii="Arial" w:hAnsi="Arial"/>
                <w:color w:val="auto"/>
                <w:sz w:val="20"/>
                <w:szCs w:val="20"/>
              </w:rPr>
              <w:t>4.5.</w:t>
            </w:r>
          </w:p>
        </w:tc>
      </w:tr>
      <w:tr>
        <w:trPr>
          <w:trHeight w:val="13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3.1.32</w:t>
            </w:r>
          </w:p>
        </w:tc>
        <w:tc>
          <w:tcPr>
            <w:tcW w:w="5201" w:type="dxa"/>
            <w:tcBorders>
              <w:bottom w:val="single" w:sz="4" w:space="0" w:color="000000"/>
              <w:right w:val="single" w:sz="4" w:space="0" w:color="000000"/>
            </w:tcBorders>
            <w:shd w:fill="FFFFFF" w:val="clear"/>
            <w:vAlign w:val="center"/>
          </w:tcPr>
          <w:p>
            <w:pPr>
              <w:pStyle w:val="Normal"/>
              <w:widowControl w:val="false"/>
              <w:suppressAutoHyphens w:val="true"/>
              <w:spacing w:lineRule="auto" w:line="240" w:before="0" w:after="0"/>
              <w:rPr>
                <w:color w:val="auto"/>
              </w:rPr>
            </w:pPr>
            <w:r>
              <w:rPr>
                <w:rFonts w:cs="Arial" w:ascii="Arial" w:hAnsi="Arial"/>
                <w:b w:val="false"/>
                <w:bCs w:val="false"/>
                <w:color w:val="000000"/>
                <w:sz w:val="20"/>
                <w:szCs w:val="20"/>
                <w:shd w:fill="auto" w:val="clear"/>
              </w:rPr>
              <w:t>Nerūdijančio plieno kauburėliai įspėjamiesiems paviršiams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ŽN-O</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150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3.8.</w:t>
            </w:r>
          </w:p>
        </w:tc>
      </w:tr>
      <w:tr>
        <w:trPr>
          <w:trHeight w:val="383"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3.1.33</w:t>
            </w:r>
          </w:p>
        </w:tc>
        <w:tc>
          <w:tcPr>
            <w:tcW w:w="5201" w:type="dxa"/>
            <w:tcBorders>
              <w:bottom w:val="single" w:sz="4" w:space="0" w:color="000000"/>
              <w:right w:val="single" w:sz="4" w:space="0" w:color="000000"/>
            </w:tcBorders>
            <w:shd w:fill="FFFFFF" w:val="clear"/>
            <w:vAlign w:val="center"/>
          </w:tcPr>
          <w:p>
            <w:pPr>
              <w:pStyle w:val="Normal"/>
              <w:widowControl w:val="false"/>
              <w:suppressAutoHyphens w:val="true"/>
              <w:spacing w:lineRule="auto" w:line="240" w:before="0" w:after="0"/>
              <w:rPr>
                <w:color w:val="auto"/>
              </w:rPr>
            </w:pPr>
            <w:r>
              <w:rPr>
                <w:rFonts w:cs="Arial" w:ascii="Arial" w:hAnsi="Arial"/>
                <w:b w:val="false"/>
                <w:bCs w:val="false"/>
                <w:color w:val="000000"/>
                <w:sz w:val="20"/>
                <w:szCs w:val="20"/>
                <w:shd w:fill="auto" w:val="clear"/>
              </w:rPr>
              <w:t>Nerūdijančio plieno juostelės įspėjamiesiems paviršiams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ŽN-I</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200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3.8.</w:t>
            </w:r>
          </w:p>
        </w:tc>
      </w:tr>
      <w:tr>
        <w:trPr>
          <w:trHeight w:val="139"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000000"/>
                <w:sz w:val="20"/>
                <w:szCs w:val="20"/>
                <w:shd w:fill="auto" w:val="clear"/>
              </w:rPr>
              <w:t>3.2.</w:t>
            </w:r>
          </w:p>
        </w:tc>
        <w:tc>
          <w:tcPr>
            <w:tcW w:w="5201" w:type="dxa"/>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Betoninių trinkelių dangos įrengimo pasluoksniai</w:t>
            </w:r>
          </w:p>
        </w:tc>
        <w:tc>
          <w:tcPr>
            <w:tcW w:w="1016"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DT-01</w:t>
            </w:r>
          </w:p>
        </w:tc>
        <w:tc>
          <w:tcPr>
            <w:tcW w:w="714"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1510,00</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3.5.4.</w:t>
            </w:r>
          </w:p>
        </w:tc>
      </w:tr>
      <w:tr>
        <w:trPr>
          <w:trHeight w:val="13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3.2.1</w:t>
            </w:r>
          </w:p>
        </w:tc>
        <w:tc>
          <w:tcPr>
            <w:tcW w:w="9623" w:type="dxa"/>
            <w:gridSpan w:val="5"/>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val="false"/>
                <w:bCs w:val="false"/>
                <w:color w:val="000000"/>
                <w:sz w:val="20"/>
                <w:szCs w:val="20"/>
                <w:shd w:fill="auto" w:val="clear"/>
              </w:rPr>
              <w:t xml:space="preserve">Viršutinis sluoksnis – DB-1 (dangos, kuriose </w:t>
            </w:r>
            <w:r>
              <w:rPr>
                <w:rFonts w:ascii="Arial" w:hAnsi="Arial"/>
                <w:b w:val="false"/>
                <w:bCs w:val="false"/>
                <w:color w:val="000000"/>
                <w:sz w:val="20"/>
                <w:szCs w:val="20"/>
                <w:u w:val="single"/>
                <w:shd w:fill="auto" w:val="clear"/>
              </w:rPr>
              <w:t>nenumatytas</w:t>
            </w:r>
            <w:r>
              <w:rPr>
                <w:rFonts w:ascii="Arial" w:hAnsi="Arial"/>
                <w:b w:val="false"/>
                <w:bCs w:val="false"/>
                <w:color w:val="000000"/>
                <w:sz w:val="20"/>
                <w:szCs w:val="20"/>
                <w:shd w:fill="auto" w:val="clear"/>
              </w:rPr>
              <w:t xml:space="preserve"> transporto važiavimas)</w:t>
            </w:r>
          </w:p>
        </w:tc>
      </w:tr>
      <w:tr>
        <w:trPr>
          <w:trHeight w:val="13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3.2.2</w:t>
            </w:r>
          </w:p>
        </w:tc>
        <w:tc>
          <w:tcPr>
            <w:tcW w:w="5201" w:type="dxa"/>
            <w:tcBorders>
              <w:bottom w:val="single" w:sz="4" w:space="0" w:color="000000"/>
              <w:right w:val="single" w:sz="4" w:space="0" w:color="000000"/>
            </w:tcBorders>
            <w:shd w:fill="FFFFFF" w:val="clear"/>
            <w:vAlign w:val="center"/>
          </w:tcPr>
          <w:p>
            <w:pPr>
              <w:pStyle w:val="Normal"/>
              <w:widowControl w:val="false"/>
              <w:bidi w:val="0"/>
              <w:spacing w:before="0" w:after="200"/>
              <w:jc w:val="left"/>
              <w:rPr>
                <w:color w:val="auto"/>
              </w:rPr>
            </w:pPr>
            <w:r>
              <w:rPr>
                <w:rFonts w:ascii="Arial" w:hAnsi="Arial"/>
                <w:b w:val="false"/>
                <w:i w:val="false"/>
                <w:strike w:val="false"/>
                <w:dstrike w:val="false"/>
                <w:outline w:val="false"/>
                <w:shadow w:val="false"/>
                <w:color w:val="auto"/>
                <w:sz w:val="20"/>
                <w:szCs w:val="20"/>
                <w:u w:val="none"/>
                <w:em w:val="none"/>
              </w:rPr>
              <w:t>Nesurištųjų mineralinių medžiagų mišinys fr. 0/2 - 0/5, (30 mm)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color w:val="auto"/>
                <w:sz w:val="20"/>
                <w:szCs w:val="20"/>
              </w:rPr>
            </w:pPr>
            <w:r>
              <w:rPr>
                <w:rFonts w:ascii="Arial" w:hAnsi="Arial"/>
                <w:color w:val="auto"/>
                <w:sz w:val="20"/>
                <w:szCs w:val="20"/>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45.3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3.5.4.</w:t>
            </w:r>
          </w:p>
        </w:tc>
      </w:tr>
      <w:tr>
        <w:trPr>
          <w:trHeight w:val="13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highlight w:val="none"/>
                <w:shd w:fill="BDBC93" w:val="clear"/>
              </w:rPr>
            </w:pPr>
            <w:r>
              <w:rPr>
                <w:rFonts w:ascii="Arial" w:hAnsi="Arial"/>
                <w:color w:val="auto"/>
                <w:sz w:val="20"/>
                <w:szCs w:val="20"/>
                <w:shd w:fill="BDBC93" w:val="clear"/>
              </w:rPr>
              <w:t>3.2.3</w:t>
            </w:r>
          </w:p>
        </w:tc>
        <w:tc>
          <w:tcPr>
            <w:tcW w:w="5201" w:type="dxa"/>
            <w:tcBorders>
              <w:bottom w:val="single" w:sz="4" w:space="0" w:color="000000"/>
              <w:right w:val="single" w:sz="4" w:space="0" w:color="000000"/>
            </w:tcBorders>
            <w:shd w:fill="FFFFFF" w:val="clear"/>
            <w:vAlign w:val="center"/>
          </w:tcPr>
          <w:p>
            <w:pPr>
              <w:pStyle w:val="Normal"/>
              <w:widowControl w:val="false"/>
              <w:spacing w:before="0" w:after="200"/>
              <w:rPr>
                <w:highlight w:val="none"/>
                <w:shd w:fill="BDBC93" w:val="clear"/>
              </w:rPr>
            </w:pPr>
            <w:r>
              <w:rPr>
                <w:rFonts w:ascii="Arial" w:hAnsi="Arial"/>
                <w:b w:val="false"/>
                <w:i w:val="false"/>
                <w:strike w:val="false"/>
                <w:dstrike w:val="false"/>
                <w:outline w:val="false"/>
                <w:shadow w:val="false"/>
                <w:color w:val="auto"/>
                <w:sz w:val="20"/>
                <w:szCs w:val="20"/>
                <w:u w:val="none"/>
                <w:shd w:fill="BDBC93" w:val="clear"/>
                <w:em w:val="none"/>
              </w:rPr>
              <w:t>Nesuri</w:t>
            </w:r>
            <w:r>
              <w:rPr>
                <w:rFonts w:ascii="Arial" w:hAnsi="Arial"/>
                <w:b w:val="false"/>
                <w:i w:val="false"/>
                <w:strike w:val="false"/>
                <w:dstrike w:val="false"/>
                <w:color w:val="auto"/>
                <w:sz w:val="20"/>
                <w:szCs w:val="20"/>
                <w:u w:val="none"/>
                <w:shd w:fill="BDBC93" w:val="clear"/>
              </w:rPr>
              <w:t>štųjų mineralinių medžiagų mišinys fr. 0/45 (dolomito skalda) E/V2 100 MPa (150 mm)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color w:val="auto"/>
                <w:sz w:val="20"/>
                <w:szCs w:val="20"/>
                <w:highlight w:val="none"/>
                <w:shd w:fill="BDBC93" w:val="clear"/>
              </w:rPr>
            </w:pPr>
            <w:r>
              <w:rPr>
                <w:rFonts w:ascii="Arial" w:hAnsi="Arial"/>
                <w:color w:val="auto"/>
                <w:sz w:val="20"/>
                <w:szCs w:val="20"/>
                <w:shd w:fill="BDBC93" w:val="clear"/>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highlight w:val="none"/>
                <w:shd w:fill="BDBC93" w:val="clear"/>
              </w:rPr>
            </w:pPr>
            <w:r>
              <w:rPr>
                <w:rFonts w:ascii="Arial" w:hAnsi="Arial"/>
                <w:color w:val="000000"/>
                <w:position w:val="0"/>
                <w:sz w:val="20"/>
                <w:sz w:val="20"/>
                <w:szCs w:val="20"/>
                <w:shd w:fill="BDBC93" w:val="clear"/>
                <w:vertAlign w:val="baseline"/>
                <w:lang w:eastAsia="lt-LT"/>
              </w:rPr>
              <w:t>m</w:t>
            </w:r>
            <w:r>
              <w:rPr>
                <w:rFonts w:ascii="Arial" w:hAnsi="Arial"/>
                <w:color w:val="000000"/>
                <w:sz w:val="20"/>
                <w:szCs w:val="20"/>
                <w:shd w:fill="BDBC93"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highlight w:val="none"/>
                <w:shd w:fill="BDBC93" w:val="clear"/>
              </w:rPr>
            </w:pPr>
            <w:r>
              <w:rPr>
                <w:rFonts w:ascii="Arial" w:hAnsi="Arial"/>
                <w:color w:val="auto"/>
                <w:sz w:val="20"/>
                <w:szCs w:val="20"/>
                <w:shd w:fill="BDBC93" w:val="clear"/>
              </w:rPr>
              <w:t>226.5</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highlight w:val="none"/>
                <w:shd w:fill="BDBC93" w:val="clear"/>
              </w:rPr>
            </w:pPr>
            <w:r>
              <w:rPr>
                <w:rFonts w:cs="Arial" w:ascii="Arial" w:hAnsi="Arial"/>
                <w:color w:val="auto"/>
                <w:sz w:val="20"/>
                <w:szCs w:val="20"/>
                <w:shd w:fill="BDBC93" w:val="clear"/>
              </w:rPr>
              <w:t>3.4.</w:t>
            </w:r>
          </w:p>
          <w:p>
            <w:pPr>
              <w:pStyle w:val="Normal"/>
              <w:widowControl w:val="false"/>
              <w:spacing w:before="0" w:after="0"/>
              <w:jc w:val="center"/>
              <w:rPr>
                <w:highlight w:val="none"/>
                <w:shd w:fill="BDBC93" w:val="clear"/>
              </w:rPr>
            </w:pPr>
            <w:r>
              <w:rPr>
                <w:rFonts w:cs="Arial" w:ascii="Arial" w:hAnsi="Arial"/>
                <w:color w:val="auto"/>
                <w:sz w:val="20"/>
                <w:szCs w:val="20"/>
                <w:shd w:fill="BDBC93" w:val="clear"/>
              </w:rPr>
              <w:t>3.5.4.</w:t>
            </w:r>
          </w:p>
        </w:tc>
      </w:tr>
      <w:tr>
        <w:trPr>
          <w:trHeight w:val="13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3.2.4.</w:t>
            </w:r>
          </w:p>
        </w:tc>
        <w:tc>
          <w:tcPr>
            <w:tcW w:w="5201" w:type="dxa"/>
            <w:tcBorders>
              <w:bottom w:val="single" w:sz="4" w:space="0" w:color="000000"/>
              <w:right w:val="single" w:sz="4" w:space="0" w:color="000000"/>
            </w:tcBorders>
            <w:shd w:fill="FFFFFF" w:val="clear"/>
            <w:vAlign w:val="center"/>
          </w:tcPr>
          <w:p>
            <w:pPr>
              <w:pStyle w:val="Normal"/>
              <w:widowControl w:val="false"/>
              <w:spacing w:before="0" w:after="200"/>
              <w:rPr>
                <w:color w:val="auto"/>
              </w:rPr>
            </w:pPr>
            <w:r>
              <w:rPr>
                <w:rFonts w:ascii="Arial" w:hAnsi="Arial"/>
                <w:b w:val="false"/>
                <w:i w:val="false"/>
                <w:strike w:val="false"/>
                <w:dstrike w:val="false"/>
                <w:outline w:val="false"/>
                <w:shadow w:val="false"/>
                <w:color w:val="auto"/>
                <w:sz w:val="20"/>
                <w:szCs w:val="20"/>
                <w:u w:val="none"/>
                <w:em w:val="none"/>
              </w:rPr>
              <w:t>Š</w:t>
            </w:r>
            <w:r>
              <w:rPr>
                <w:rFonts w:ascii="Arial" w:hAnsi="Arial"/>
                <w:b w:val="false"/>
                <w:i w:val="false"/>
                <w:strike w:val="false"/>
                <w:dstrike w:val="false"/>
                <w:color w:val="auto"/>
                <w:sz w:val="20"/>
                <w:szCs w:val="20"/>
                <w:u w:val="none"/>
              </w:rPr>
              <w:t>alčiui nejautrių medžiagų sluoksnis (≥190 mm)Pagal ĮT SBR 19/TRA SBR 19</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color w:val="auto"/>
                <w:sz w:val="20"/>
                <w:szCs w:val="20"/>
              </w:rPr>
            </w:pPr>
            <w:r>
              <w:rPr>
                <w:rFonts w:ascii="Arial" w:hAnsi="Arial"/>
                <w:color w:val="auto"/>
                <w:sz w:val="20"/>
                <w:szCs w:val="20"/>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287</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3.5.4.</w:t>
            </w:r>
          </w:p>
        </w:tc>
      </w:tr>
      <w:tr>
        <w:trPr>
          <w:trHeight w:val="336"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3.4.</w:t>
            </w:r>
          </w:p>
        </w:tc>
        <w:tc>
          <w:tcPr>
            <w:tcW w:w="5201" w:type="dxa"/>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Betoninių ir granitinių trinkelių dangos įrengimo (važiuojamoji dalis, automobilių parkavimas) pasluoksniai</w:t>
            </w:r>
          </w:p>
        </w:tc>
        <w:tc>
          <w:tcPr>
            <w:tcW w:w="1016"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DT-02</w:t>
            </w:r>
          </w:p>
        </w:tc>
        <w:tc>
          <w:tcPr>
            <w:tcW w:w="714"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14750,00</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3.5.2.</w:t>
            </w:r>
          </w:p>
          <w:p>
            <w:pPr>
              <w:pStyle w:val="Normal"/>
              <w:widowControl w:val="false"/>
              <w:spacing w:before="0" w:after="0"/>
              <w:jc w:val="center"/>
              <w:rPr>
                <w:rFonts w:ascii="Arial" w:hAnsi="Arial" w:cs="Arial"/>
                <w:color w:val="auto"/>
                <w:sz w:val="20"/>
                <w:szCs w:val="20"/>
              </w:rPr>
            </w:pPr>
            <w:r>
              <w:rPr>
                <w:rFonts w:cs="Arial" w:ascii="Arial" w:hAnsi="Arial"/>
                <w:color w:val="auto"/>
                <w:sz w:val="20"/>
                <w:szCs w:val="20"/>
              </w:rPr>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b/>
                <w:bCs/>
                <w:color w:val="auto"/>
                <w:sz w:val="20"/>
                <w:szCs w:val="20"/>
              </w:rPr>
            </w:pPr>
            <w:r>
              <w:rPr>
                <w:rFonts w:ascii="Arial" w:hAnsi="Arial"/>
                <w:b/>
                <w:bCs/>
                <w:color w:val="auto"/>
                <w:sz w:val="20"/>
                <w:szCs w:val="20"/>
              </w:rPr>
            </w:r>
          </w:p>
        </w:tc>
        <w:tc>
          <w:tcPr>
            <w:tcW w:w="9623" w:type="dxa"/>
            <w:gridSpan w:val="5"/>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val="false"/>
                <w:bCs w:val="false"/>
                <w:color w:val="000000"/>
                <w:sz w:val="20"/>
                <w:szCs w:val="20"/>
                <w:shd w:fill="auto" w:val="clear"/>
              </w:rPr>
              <w:t xml:space="preserve">Viršutiniai sluoksniai – DB-1, DB-2, DG-1, DG-2, DG-3, DA-1 (dangos, kuriose </w:t>
            </w:r>
            <w:r>
              <w:rPr>
                <w:rFonts w:ascii="Arial" w:hAnsi="Arial"/>
                <w:b w:val="false"/>
                <w:bCs w:val="false"/>
                <w:color w:val="000000"/>
                <w:sz w:val="20"/>
                <w:szCs w:val="20"/>
                <w:u w:val="single"/>
                <w:shd w:fill="auto" w:val="clear"/>
              </w:rPr>
              <w:t>numatomas</w:t>
            </w:r>
            <w:r>
              <w:rPr>
                <w:rFonts w:ascii="Arial" w:hAnsi="Arial"/>
                <w:b w:val="false"/>
                <w:bCs w:val="false"/>
                <w:color w:val="000000"/>
                <w:sz w:val="20"/>
                <w:szCs w:val="20"/>
                <w:shd w:fill="auto" w:val="clear"/>
              </w:rPr>
              <w:t xml:space="preserve"> transporto judėjimas)</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3.4.1.</w:t>
            </w:r>
          </w:p>
        </w:tc>
        <w:tc>
          <w:tcPr>
            <w:tcW w:w="5201" w:type="dxa"/>
            <w:tcBorders>
              <w:bottom w:val="single" w:sz="4" w:space="0" w:color="000000"/>
              <w:right w:val="single" w:sz="4" w:space="0" w:color="000000"/>
            </w:tcBorders>
            <w:shd w:fill="FFFFFF" w:val="clear"/>
            <w:vAlign w:val="center"/>
          </w:tcPr>
          <w:p>
            <w:pPr>
              <w:pStyle w:val="Normal"/>
              <w:widowControl w:val="false"/>
              <w:bidi w:val="0"/>
              <w:spacing w:before="0" w:after="200"/>
              <w:jc w:val="left"/>
              <w:rPr>
                <w:color w:val="auto"/>
              </w:rPr>
            </w:pPr>
            <w:r>
              <w:rPr>
                <w:rFonts w:ascii="Arial" w:hAnsi="Arial"/>
                <w:b w:val="false"/>
                <w:i w:val="false"/>
                <w:strike w:val="false"/>
                <w:dstrike w:val="false"/>
                <w:outline w:val="false"/>
                <w:shadow w:val="false"/>
                <w:color w:val="auto"/>
                <w:sz w:val="20"/>
                <w:szCs w:val="20"/>
                <w:u w:val="none"/>
                <w:em w:val="none"/>
              </w:rPr>
              <w:t>Nesurištųjų mineralinių medžiagų mišinys fr.  0/2 - 0/5 (30 mm)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443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3.5.2</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3.4.2.</w:t>
            </w:r>
          </w:p>
        </w:tc>
        <w:tc>
          <w:tcPr>
            <w:tcW w:w="5201" w:type="dxa"/>
            <w:tcBorders>
              <w:bottom w:val="single" w:sz="4" w:space="0" w:color="000000"/>
              <w:right w:val="single" w:sz="4" w:space="0" w:color="000000"/>
            </w:tcBorders>
            <w:shd w:fill="FFFFFF" w:val="clear"/>
            <w:vAlign w:val="center"/>
          </w:tcPr>
          <w:p>
            <w:pPr>
              <w:pStyle w:val="Normal"/>
              <w:widowControl w:val="false"/>
              <w:spacing w:before="0" w:after="200"/>
              <w:rPr>
                <w:color w:val="auto"/>
              </w:rPr>
            </w:pPr>
            <w:r>
              <w:rPr>
                <w:rFonts w:ascii="Arial" w:hAnsi="Arial"/>
                <w:b w:val="false"/>
                <w:i w:val="false"/>
                <w:strike w:val="false"/>
                <w:dstrike w:val="false"/>
                <w:outline w:val="false"/>
                <w:shadow w:val="false"/>
                <w:color w:val="auto"/>
                <w:sz w:val="20"/>
                <w:szCs w:val="20"/>
                <w:u w:val="none"/>
                <w:em w:val="none"/>
              </w:rPr>
              <w:t>Nesuri</w:t>
            </w:r>
            <w:r>
              <w:rPr>
                <w:rFonts w:ascii="Arial" w:hAnsi="Arial"/>
                <w:b w:val="false"/>
                <w:i w:val="false"/>
                <w:strike w:val="false"/>
                <w:dstrike w:val="false"/>
                <w:color w:val="auto"/>
                <w:sz w:val="20"/>
                <w:szCs w:val="20"/>
                <w:u w:val="none"/>
              </w:rPr>
              <w:t>štųjų mineralinių medžiagų mišinys fr. 0/45 (dolomito skalda) E/V2 150 MPa (200 mm)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2950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3.5.2</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3.4.3.</w:t>
            </w:r>
          </w:p>
        </w:tc>
        <w:tc>
          <w:tcPr>
            <w:tcW w:w="5201" w:type="dxa"/>
            <w:tcBorders>
              <w:bottom w:val="single" w:sz="4" w:space="0" w:color="000000"/>
              <w:right w:val="single" w:sz="4" w:space="0" w:color="000000"/>
            </w:tcBorders>
            <w:shd w:fill="FFFFFF" w:val="clear"/>
            <w:vAlign w:val="center"/>
          </w:tcPr>
          <w:p>
            <w:pPr>
              <w:pStyle w:val="Normal"/>
              <w:widowControl w:val="false"/>
              <w:spacing w:before="0" w:after="200"/>
              <w:rPr>
                <w:color w:val="auto"/>
              </w:rPr>
            </w:pPr>
            <w:r>
              <w:rPr>
                <w:rFonts w:ascii="Arial" w:hAnsi="Arial"/>
                <w:b w:val="false"/>
                <w:i w:val="false"/>
                <w:strike w:val="false"/>
                <w:dstrike w:val="false"/>
                <w:outline w:val="false"/>
                <w:shadow w:val="false"/>
                <w:color w:val="auto"/>
                <w:sz w:val="20"/>
                <w:szCs w:val="20"/>
                <w:u w:val="none"/>
                <w:em w:val="none"/>
              </w:rPr>
              <w:t xml:space="preserve">Apsauginis </w:t>
            </w:r>
            <w:r>
              <w:rPr>
                <w:rFonts w:ascii="Arial" w:hAnsi="Arial"/>
                <w:b w:val="false"/>
                <w:i w:val="false"/>
                <w:strike w:val="false"/>
                <w:dstrike w:val="false"/>
                <w:color w:val="auto"/>
                <w:sz w:val="20"/>
                <w:szCs w:val="20"/>
                <w:u w:val="none"/>
              </w:rPr>
              <w:t>šalčiui atsparus sluoksnis (≥440 mm) Pagal ĮT SBR 19/TRA SBR 19, E/V2 120 MPa</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6490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3.5.2</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3.4.4.</w:t>
            </w:r>
          </w:p>
        </w:tc>
        <w:tc>
          <w:tcPr>
            <w:tcW w:w="5201" w:type="dxa"/>
            <w:tcBorders>
              <w:bottom w:val="single" w:sz="4" w:space="0" w:color="000000"/>
              <w:right w:val="single" w:sz="4" w:space="0" w:color="000000"/>
            </w:tcBorders>
            <w:shd w:fill="FFFFFF" w:val="clear"/>
            <w:vAlign w:val="center"/>
          </w:tcPr>
          <w:p>
            <w:pPr>
              <w:pStyle w:val="Normal"/>
              <w:widowControl w:val="false"/>
              <w:spacing w:before="0" w:after="200"/>
              <w:rPr>
                <w:color w:val="auto"/>
              </w:rPr>
            </w:pPr>
            <w:r>
              <w:rPr>
                <w:rFonts w:ascii="Arial" w:hAnsi="Arial"/>
                <w:b w:val="false"/>
                <w:i w:val="false"/>
                <w:strike w:val="false"/>
                <w:dstrike w:val="false"/>
                <w:color w:val="auto"/>
                <w:sz w:val="20"/>
                <w:szCs w:val="20"/>
                <w:u w:val="none"/>
              </w:rPr>
              <w:t>Žemės sankasos grunto pakeitimas. F1 klasės gruntas. E/V2 45 MPa (150 mm)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2213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3.5.2</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3.4.5.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Geotekstilės grunto atskyrimui, įrengimas</w:t>
            </w:r>
          </w:p>
        </w:tc>
        <w:tc>
          <w:tcPr>
            <w:tcW w:w="1016"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olor w:val="auto"/>
                <w:sz w:val="20"/>
                <w:szCs w:val="20"/>
              </w:rPr>
            </w:pPr>
            <w:r>
              <w:rPr>
                <w:rFonts w:ascii="Arial" w:hAnsi="Arial"/>
                <w:color w:val="auto"/>
                <w:sz w:val="20"/>
                <w:szCs w:val="20"/>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w:t>
            </w:r>
            <w:r>
              <w:rPr>
                <w:rFonts w:eastAsia="Calibri" w:cs="Arial" w:ascii="Arial" w:hAnsi="Arial"/>
                <w:color w:val="auto"/>
                <w:kern w:val="2"/>
                <w:sz w:val="20"/>
                <w:szCs w:val="20"/>
                <w:vertAlign w:val="superscript"/>
                <w:lang w:eastAsia="en-US" w:bidi="ar-SA"/>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14750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3.5.2</w:t>
            </w:r>
          </w:p>
        </w:tc>
      </w:tr>
      <w:tr>
        <w:trPr>
          <w:trHeight w:val="336"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3.5.</w:t>
            </w:r>
          </w:p>
        </w:tc>
        <w:tc>
          <w:tcPr>
            <w:tcW w:w="5201" w:type="dxa"/>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Asfalto dangos įrengimo (dviračių takas) pasluoksniai</w:t>
            </w:r>
          </w:p>
        </w:tc>
        <w:tc>
          <w:tcPr>
            <w:tcW w:w="1016"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DT-03</w:t>
            </w:r>
          </w:p>
        </w:tc>
        <w:tc>
          <w:tcPr>
            <w:tcW w:w="714"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1307,00</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3.5.3.</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9623" w:type="dxa"/>
            <w:gridSpan w:val="5"/>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val="false"/>
                <w:bCs w:val="false"/>
                <w:color w:val="000000"/>
                <w:sz w:val="20"/>
                <w:szCs w:val="20"/>
                <w:shd w:fill="auto" w:val="clear"/>
              </w:rPr>
              <w:t>Viršutinis sluoksnis - DA-01</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3.5.2.</w:t>
            </w:r>
          </w:p>
        </w:tc>
        <w:tc>
          <w:tcPr>
            <w:tcW w:w="5201" w:type="dxa"/>
            <w:tcBorders>
              <w:bottom w:val="single" w:sz="4" w:space="0" w:color="000000"/>
              <w:right w:val="single" w:sz="4" w:space="0" w:color="000000"/>
            </w:tcBorders>
            <w:shd w:fill="FFFFFF" w:val="clear"/>
            <w:vAlign w:val="center"/>
          </w:tcPr>
          <w:p>
            <w:pPr>
              <w:pStyle w:val="Normal"/>
              <w:widowControl w:val="false"/>
              <w:spacing w:before="0" w:after="200"/>
              <w:rPr>
                <w:color w:val="auto"/>
              </w:rPr>
            </w:pPr>
            <w:r>
              <w:rPr>
                <w:rFonts w:ascii="Arial" w:hAnsi="Arial"/>
                <w:b w:val="false"/>
                <w:i w:val="false"/>
                <w:strike w:val="false"/>
                <w:dstrike w:val="false"/>
                <w:outline w:val="false"/>
                <w:shadow w:val="false"/>
                <w:color w:val="auto"/>
                <w:sz w:val="20"/>
                <w:szCs w:val="20"/>
                <w:u w:val="none"/>
                <w:em w:val="none"/>
              </w:rPr>
              <w:t>Nesuri</w:t>
            </w:r>
            <w:r>
              <w:rPr>
                <w:rFonts w:ascii="Arial" w:hAnsi="Arial"/>
                <w:b w:val="false"/>
                <w:i w:val="false"/>
                <w:strike w:val="false"/>
                <w:dstrike w:val="false"/>
                <w:color w:val="auto"/>
                <w:sz w:val="20"/>
                <w:szCs w:val="20"/>
                <w:u w:val="none"/>
              </w:rPr>
              <w:t>štųjų mineralinių medžiagų mišinys fr. 0/45 (dolomito skalda) E/V2 100 MPa (200 mm)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261,4130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3.5.3.</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3.5.3.</w:t>
            </w:r>
          </w:p>
        </w:tc>
        <w:tc>
          <w:tcPr>
            <w:tcW w:w="5201" w:type="dxa"/>
            <w:tcBorders>
              <w:bottom w:val="single" w:sz="4" w:space="0" w:color="000000"/>
              <w:right w:val="single" w:sz="4" w:space="0" w:color="000000"/>
            </w:tcBorders>
            <w:shd w:fill="FFFFFF" w:val="clear"/>
            <w:vAlign w:val="center"/>
          </w:tcPr>
          <w:p>
            <w:pPr>
              <w:pStyle w:val="Normal"/>
              <w:widowControl w:val="false"/>
              <w:spacing w:before="0" w:after="200"/>
              <w:rPr>
                <w:color w:val="auto"/>
              </w:rPr>
            </w:pPr>
            <w:r>
              <w:rPr>
                <w:rFonts w:ascii="Arial" w:hAnsi="Arial"/>
                <w:b w:val="false"/>
                <w:i w:val="false"/>
                <w:strike w:val="false"/>
                <w:dstrike w:val="false"/>
                <w:color w:val="auto"/>
                <w:sz w:val="20"/>
                <w:szCs w:val="20"/>
                <w:u w:val="none"/>
              </w:rPr>
              <w:t>Šalčiui nejautrių medžiagų sluoksnis (≥170 mm) Pagal ĮT SBR 19/TRA SBR 19</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222,20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3.5.3.</w:t>
            </w:r>
          </w:p>
        </w:tc>
      </w:tr>
      <w:tr>
        <w:trPr>
          <w:trHeight w:val="336"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3.7.</w:t>
            </w:r>
          </w:p>
        </w:tc>
        <w:tc>
          <w:tcPr>
            <w:tcW w:w="5201" w:type="dxa"/>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Vaikų žaidimų aikštelės dangos pasluoksniai</w:t>
            </w:r>
          </w:p>
        </w:tc>
        <w:tc>
          <w:tcPr>
            <w:tcW w:w="1016"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DT-05</w:t>
            </w:r>
          </w:p>
        </w:tc>
        <w:tc>
          <w:tcPr>
            <w:tcW w:w="714"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1090,00</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3.5.5.</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9623" w:type="dxa"/>
            <w:gridSpan w:val="5"/>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val="false"/>
                <w:bCs w:val="false"/>
                <w:color w:val="000000"/>
                <w:sz w:val="20"/>
                <w:szCs w:val="20"/>
                <w:shd w:fill="auto" w:val="clear"/>
              </w:rPr>
              <w:t>Viršutinis sluoksnis - DV-01</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3.7.2</w:t>
            </w:r>
          </w:p>
        </w:tc>
        <w:tc>
          <w:tcPr>
            <w:tcW w:w="5201" w:type="dxa"/>
            <w:tcBorders>
              <w:bottom w:val="single" w:sz="4" w:space="0" w:color="000000"/>
              <w:right w:val="single" w:sz="4" w:space="0" w:color="000000"/>
            </w:tcBorders>
            <w:shd w:fill="FFFFFF" w:val="clear"/>
            <w:vAlign w:val="center"/>
          </w:tcPr>
          <w:p>
            <w:pPr>
              <w:pStyle w:val="Normal"/>
              <w:widowControl w:val="false"/>
              <w:bidi w:val="0"/>
              <w:spacing w:before="0" w:after="200"/>
              <w:jc w:val="left"/>
              <w:rPr>
                <w:color w:val="auto"/>
              </w:rPr>
            </w:pPr>
            <w:r>
              <w:rPr>
                <w:rFonts w:ascii="Arial" w:hAnsi="Arial"/>
                <w:b w:val="false"/>
                <w:i w:val="false"/>
                <w:strike w:val="false"/>
                <w:dstrike w:val="false"/>
                <w:outline w:val="false"/>
                <w:shadow w:val="false"/>
                <w:color w:val="auto"/>
                <w:sz w:val="20"/>
                <w:szCs w:val="20"/>
                <w:u w:val="none"/>
                <w:em w:val="none"/>
              </w:rPr>
              <w:t>Nesurištųjų mineralinių medžiagų mišinys fr. 0/2 - 0/5, (30 mm)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bCs/>
                <w:color w:val="auto"/>
                <w:sz w:val="20"/>
                <w:szCs w:val="20"/>
              </w:rPr>
            </w:pPr>
            <w:r>
              <w:rPr>
                <w:rFonts w:ascii="Arial" w:hAnsi="Arial"/>
                <w:b/>
                <w:bCs/>
                <w:color w:val="auto"/>
                <w:sz w:val="20"/>
                <w:szCs w:val="20"/>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3.5.5.</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3.7.3</w:t>
            </w:r>
          </w:p>
        </w:tc>
        <w:tc>
          <w:tcPr>
            <w:tcW w:w="5201" w:type="dxa"/>
            <w:tcBorders>
              <w:bottom w:val="single" w:sz="4" w:space="0" w:color="000000"/>
              <w:right w:val="single" w:sz="4" w:space="0" w:color="000000"/>
            </w:tcBorders>
            <w:shd w:fill="FFFFFF" w:val="clear"/>
            <w:vAlign w:val="center"/>
          </w:tcPr>
          <w:p>
            <w:pPr>
              <w:pStyle w:val="Normal"/>
              <w:widowControl w:val="false"/>
              <w:bidi w:val="0"/>
              <w:spacing w:before="0" w:after="200"/>
              <w:jc w:val="left"/>
              <w:rPr>
                <w:color w:val="auto"/>
              </w:rPr>
            </w:pPr>
            <w:r>
              <w:rPr>
                <w:rFonts w:ascii="Arial" w:hAnsi="Arial"/>
                <w:b w:val="false"/>
                <w:i w:val="false"/>
                <w:strike w:val="false"/>
                <w:dstrike w:val="false"/>
                <w:outline w:val="false"/>
                <w:shadow w:val="false"/>
                <w:color w:val="auto"/>
                <w:sz w:val="20"/>
                <w:szCs w:val="20"/>
                <w:u w:val="none"/>
                <w:em w:val="none"/>
              </w:rPr>
              <w:t>Nesurištųjų mineralinių medžiagų mišinys fr. 0/45 (dolomito skalda) 150 mm)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bCs/>
                <w:color w:val="auto"/>
                <w:sz w:val="20"/>
                <w:szCs w:val="20"/>
              </w:rPr>
            </w:pPr>
            <w:r>
              <w:rPr>
                <w:rFonts w:ascii="Arial" w:hAnsi="Arial"/>
                <w:b/>
                <w:bCs/>
                <w:color w:val="auto"/>
                <w:sz w:val="20"/>
                <w:szCs w:val="20"/>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164</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3.5.5.</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3.7.4</w:t>
            </w:r>
          </w:p>
        </w:tc>
        <w:tc>
          <w:tcPr>
            <w:tcW w:w="5201" w:type="dxa"/>
            <w:tcBorders>
              <w:bottom w:val="single" w:sz="4" w:space="0" w:color="000000"/>
              <w:right w:val="single" w:sz="4" w:space="0" w:color="000000"/>
            </w:tcBorders>
            <w:shd w:fill="FFFFFF" w:val="clear"/>
            <w:vAlign w:val="center"/>
          </w:tcPr>
          <w:p>
            <w:pPr>
              <w:pStyle w:val="Normal"/>
              <w:widowControl w:val="false"/>
              <w:bidi w:val="0"/>
              <w:jc w:val="left"/>
              <w:rPr>
                <w:color w:val="auto"/>
              </w:rPr>
            </w:pPr>
            <w:r>
              <w:rPr>
                <w:rFonts w:ascii="Arial" w:hAnsi="Arial"/>
                <w:b w:val="false"/>
                <w:i w:val="false"/>
                <w:strike w:val="false"/>
                <w:dstrike w:val="false"/>
                <w:outline w:val="false"/>
                <w:shadow w:val="false"/>
                <w:color w:val="auto"/>
                <w:sz w:val="20"/>
                <w:szCs w:val="20"/>
                <w:u w:val="none"/>
                <w:em w:val="none"/>
              </w:rPr>
              <w:t>Šalčiui nejautrių medžiagų sluoksnis (Pagal ĮT SBR 19/TRA SBR 19) ≥190 mm)</w:t>
            </w:r>
          </w:p>
          <w:p>
            <w:pPr>
              <w:pStyle w:val="Normal"/>
              <w:widowControl w:val="false"/>
              <w:bidi w:val="0"/>
              <w:spacing w:before="0" w:after="200"/>
              <w:jc w:val="left"/>
              <w:rPr>
                <w:rFonts w:ascii="Arial" w:hAnsi="Arial"/>
                <w:color w:val="auto"/>
                <w:sz w:val="20"/>
                <w:szCs w:val="20"/>
              </w:rPr>
            </w:pPr>
            <w:r>
              <w:rPr>
                <w:rFonts w:ascii="Arial" w:hAnsi="Arial"/>
                <w:color w:val="auto"/>
                <w:sz w:val="20"/>
                <w:szCs w:val="20"/>
              </w:rPr>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bCs/>
                <w:color w:val="auto"/>
                <w:sz w:val="20"/>
                <w:szCs w:val="20"/>
              </w:rPr>
            </w:pPr>
            <w:r>
              <w:rPr>
                <w:rFonts w:ascii="Arial" w:hAnsi="Arial"/>
                <w:b/>
                <w:bCs/>
                <w:color w:val="auto"/>
                <w:sz w:val="20"/>
                <w:szCs w:val="20"/>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207</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3.5.5.</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3.7.5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Geotekstilės grunto atskyrimui, įrengimas</w:t>
            </w:r>
          </w:p>
        </w:tc>
        <w:tc>
          <w:tcPr>
            <w:tcW w:w="1016"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olor w:val="auto"/>
                <w:sz w:val="20"/>
                <w:szCs w:val="20"/>
              </w:rPr>
            </w:pPr>
            <w:r>
              <w:rPr>
                <w:rFonts w:ascii="Arial" w:hAnsi="Arial"/>
                <w:color w:val="auto"/>
                <w:sz w:val="20"/>
                <w:szCs w:val="20"/>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w:t>
            </w:r>
            <w:r>
              <w:rPr>
                <w:rFonts w:eastAsia="Calibri" w:cs="Arial" w:ascii="Arial" w:hAnsi="Arial"/>
                <w:color w:val="auto"/>
                <w:kern w:val="2"/>
                <w:sz w:val="20"/>
                <w:szCs w:val="20"/>
                <w:vertAlign w:val="superscript"/>
                <w:lang w:eastAsia="en-US" w:bidi="ar-SA"/>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1090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3.5.5.</w:t>
            </w:r>
          </w:p>
        </w:tc>
      </w:tr>
      <w:tr>
        <w:trPr>
          <w:trHeight w:val="139"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4.</w:t>
            </w:r>
          </w:p>
        </w:tc>
        <w:tc>
          <w:tcPr>
            <w:tcW w:w="8153" w:type="dxa"/>
            <w:gridSpan w:val="4"/>
            <w:tcBorders>
              <w:bottom w:val="single" w:sz="4" w:space="0" w:color="000000"/>
              <w:right w:val="single" w:sz="4" w:space="0" w:color="000000"/>
            </w:tcBorders>
            <w:shd w:fill="ABABAB" w:val="clear"/>
            <w:vAlign w:val="center"/>
          </w:tcPr>
          <w:p>
            <w:pPr>
              <w:pStyle w:val="Normal"/>
              <w:widowControl w:val="false"/>
              <w:suppressAutoHyphens w:val="true"/>
              <w:spacing w:lineRule="auto" w:line="240" w:before="0" w:after="0"/>
              <w:rPr>
                <w:color w:val="auto"/>
              </w:rPr>
            </w:pPr>
            <w:r>
              <w:rPr>
                <w:rFonts w:cs="Arial" w:ascii="Arial" w:hAnsi="Arial"/>
                <w:b/>
                <w:bCs/>
                <w:color w:val="000000"/>
                <w:sz w:val="20"/>
                <w:szCs w:val="20"/>
                <w:shd w:fill="auto" w:val="clear"/>
              </w:rPr>
              <w:t>Konstrukcinio drenažo įrengimas</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3.3.</w:t>
            </w:r>
          </w:p>
        </w:tc>
      </w:tr>
      <w:tr>
        <w:trPr>
          <w:trHeight w:val="36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4.1.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Tranšėjos kasimas, grunto pakrovimas ir išvežimas į rangovo pasirinktą vietą</w:t>
            </w:r>
          </w:p>
        </w:tc>
        <w:tc>
          <w:tcPr>
            <w:tcW w:w="1016"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olor w:val="auto"/>
                <w:sz w:val="20"/>
                <w:szCs w:val="20"/>
              </w:rPr>
            </w:pPr>
            <w:r>
              <w:rPr>
                <w:rFonts w:ascii="Arial" w:hAnsi="Arial"/>
                <w:color w:val="auto"/>
                <w:sz w:val="20"/>
                <w:szCs w:val="20"/>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m³</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33,5</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3.3.</w:t>
            </w:r>
          </w:p>
        </w:tc>
      </w:tr>
      <w:tr>
        <w:trPr>
          <w:trHeight w:val="222"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4.2.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Žvirgždo skalda fr. 11/16</w:t>
            </w:r>
          </w:p>
        </w:tc>
        <w:tc>
          <w:tcPr>
            <w:tcW w:w="1016"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olor w:val="auto"/>
                <w:sz w:val="20"/>
                <w:szCs w:val="20"/>
              </w:rPr>
            </w:pPr>
            <w:r>
              <w:rPr>
                <w:rFonts w:ascii="Arial" w:hAnsi="Arial"/>
                <w:color w:val="auto"/>
                <w:sz w:val="20"/>
                <w:szCs w:val="20"/>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m³</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20,7</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3.3.</w:t>
            </w:r>
          </w:p>
        </w:tc>
      </w:tr>
      <w:tr>
        <w:trPr>
          <w:trHeight w:val="222"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4.3.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Žvirgždo skalda fr. 5/8</w:t>
            </w:r>
          </w:p>
        </w:tc>
        <w:tc>
          <w:tcPr>
            <w:tcW w:w="1016"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olor w:val="auto"/>
                <w:sz w:val="20"/>
                <w:szCs w:val="20"/>
              </w:rPr>
            </w:pPr>
            <w:r>
              <w:rPr>
                <w:rFonts w:ascii="Arial" w:hAnsi="Arial"/>
                <w:color w:val="auto"/>
                <w:sz w:val="20"/>
                <w:szCs w:val="20"/>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m³</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7,0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3.3.</w:t>
            </w:r>
          </w:p>
        </w:tc>
      </w:tr>
      <w:tr>
        <w:trPr>
          <w:trHeight w:val="222"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4.4.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Plastikinio konstrukcinio drenažo vamzdžio su geotekstilės filtru d≥113 mm įrengimas</w:t>
            </w:r>
          </w:p>
        </w:tc>
        <w:tc>
          <w:tcPr>
            <w:tcW w:w="1016"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olor w:val="auto"/>
                <w:sz w:val="20"/>
                <w:szCs w:val="20"/>
              </w:rPr>
            </w:pPr>
            <w:r>
              <w:rPr>
                <w:rFonts w:ascii="Arial" w:hAnsi="Arial"/>
                <w:color w:val="auto"/>
                <w:sz w:val="20"/>
                <w:szCs w:val="20"/>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213,0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3.3.</w:t>
            </w:r>
          </w:p>
        </w:tc>
      </w:tr>
      <w:tr>
        <w:trPr>
          <w:trHeight w:val="222"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4.5.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Geotekstilės grunto atskyrimui, įrengimas</w:t>
            </w:r>
          </w:p>
        </w:tc>
        <w:tc>
          <w:tcPr>
            <w:tcW w:w="1016"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olor w:val="auto"/>
                <w:sz w:val="20"/>
                <w:szCs w:val="20"/>
              </w:rPr>
            </w:pPr>
            <w:r>
              <w:rPr>
                <w:rFonts w:ascii="Arial" w:hAnsi="Arial"/>
                <w:color w:val="auto"/>
                <w:sz w:val="20"/>
                <w:szCs w:val="20"/>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m²</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330,2</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3.3.</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rPr>
              <w:t>5.</w:t>
            </w:r>
          </w:p>
        </w:tc>
        <w:tc>
          <w:tcPr>
            <w:tcW w:w="8153" w:type="dxa"/>
            <w:gridSpan w:val="4"/>
            <w:tcBorders>
              <w:top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cs="Arial" w:ascii="Arial" w:hAnsi="Arial"/>
                <w:b/>
                <w:bCs/>
                <w:color w:val="auto"/>
                <w:sz w:val="20"/>
                <w:szCs w:val="20"/>
                <w:lang w:eastAsia="lt-LT"/>
              </w:rPr>
              <w:t>Mažosios architektūros elementai</w:t>
            </w:r>
          </w:p>
        </w:tc>
        <w:tc>
          <w:tcPr>
            <w:tcW w:w="1470" w:type="dxa"/>
            <w:tcBorders>
              <w:top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lang w:eastAsia="lt-LT"/>
              </w:rPr>
              <w:t>4.</w:t>
            </w:r>
          </w:p>
        </w:tc>
      </w:tr>
      <w:tr>
        <w:trPr>
          <w:trHeight w:val="180"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lang w:eastAsia="lt-LT"/>
              </w:rPr>
              <w:t>Vėliavų stiebai</w:t>
            </w:r>
          </w:p>
        </w:tc>
        <w:tc>
          <w:tcPr>
            <w:tcW w:w="10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V-01</w:t>
            </w:r>
          </w:p>
        </w:tc>
        <w:tc>
          <w:tcPr>
            <w:tcW w:w="7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15</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w:t>
            </w:r>
          </w:p>
        </w:tc>
      </w:tr>
      <w:tr>
        <w:trPr>
          <w:trHeight w:val="418"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5.2</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lang w:eastAsia="lt-LT"/>
              </w:rPr>
              <w:t>Šiukšlių dėžė</w:t>
            </w:r>
          </w:p>
        </w:tc>
        <w:tc>
          <w:tcPr>
            <w:tcW w:w="10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K-01</w:t>
            </w:r>
          </w:p>
        </w:tc>
        <w:tc>
          <w:tcPr>
            <w:tcW w:w="7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8</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w:t>
            </w:r>
          </w:p>
        </w:tc>
      </w:tr>
      <w:tr>
        <w:trPr>
          <w:trHeight w:val="127"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5.3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Šiukšlių dėžė šunų ekskrementams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K-02</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9</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w:t>
            </w:r>
          </w:p>
        </w:tc>
      </w:tr>
      <w:tr>
        <w:trPr>
          <w:trHeight w:val="247"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5.4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Gėlių vazonai eismo atribojimui</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GV-01</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w:t>
            </w:r>
          </w:p>
        </w:tc>
      </w:tr>
      <w:tr>
        <w:trPr>
          <w:trHeight w:val="127"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5.5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Atitvėrimo stulpeliai</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AS-01</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88</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w:t>
            </w:r>
          </w:p>
        </w:tc>
      </w:tr>
      <w:tr>
        <w:trPr>
          <w:trHeight w:val="127"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5.6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Parkavimo bortelis - ratų atmušėjas (metalinis)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PB-01</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57</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5.7.</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Dviračių stovai</w:t>
            </w:r>
          </w:p>
        </w:tc>
        <w:tc>
          <w:tcPr>
            <w:tcW w:w="10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D-1</w:t>
            </w:r>
          </w:p>
        </w:tc>
        <w:tc>
          <w:tcPr>
            <w:tcW w:w="7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14</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Geriamo vandens kolonėlė</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VS-01</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Suolas su atlošu</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S-01</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41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Lenktas suolas be atlošo</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S-02</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4</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4.3.</w:t>
            </w:r>
          </w:p>
        </w:tc>
      </w:tr>
      <w:tr>
        <w:trPr>
          <w:trHeight w:val="193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(2000x400x300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0,17*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0,80*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i w:val="false"/>
                <w:caps w:val="false"/>
                <w:smallCaps w:val="false"/>
                <w:color w:val="000000"/>
                <w:spacing w:val="0"/>
                <w:position w:val="0"/>
                <w:sz w:val="20"/>
                <w:sz w:val="20"/>
                <w:szCs w:val="20"/>
                <w:shd w:fill="auto" w:val="clear"/>
                <w:vertAlign w:val="baseline"/>
              </w:rPr>
              <w:t>3 mm nerūdijančio pieno tvirtinimo juosta lentoms, ilgis 380 mm,  3</w:t>
            </w:r>
            <w:r>
              <w:rPr>
                <w:rFonts w:ascii="Arial;sans-serif" w:hAnsi="Arial;sans-serif"/>
                <w:b/>
                <w:bCs/>
                <w:i w:val="false"/>
                <w:caps w:val="false"/>
                <w:smallCaps w:val="false"/>
                <w:color w:val="000000"/>
                <w:spacing w:val="0"/>
                <w:position w:val="0"/>
                <w:sz w:val="20"/>
                <w:sz w:val="20"/>
                <w:szCs w:val="20"/>
                <w:shd w:fill="auto" w:val="clear"/>
                <w:vertAlign w:val="baseline"/>
              </w:rPr>
              <w:t xml:space="preserve"> </w:t>
            </w:r>
            <w:r>
              <w:rPr>
                <w:rFonts w:ascii="Arial;sans-serif" w:hAnsi="Arial;sans-serif"/>
                <w:b w:val="false"/>
                <w:i w:val="false"/>
                <w:caps w:val="false"/>
                <w:smallCaps w:val="false"/>
                <w:color w:val="000000"/>
                <w:spacing w:val="0"/>
                <w:position w:val="0"/>
                <w:sz w:val="20"/>
                <w:sz w:val="20"/>
                <w:szCs w:val="20"/>
                <w:shd w:fill="auto" w:val="clear"/>
                <w:vertAlign w:val="baseline"/>
              </w:rPr>
              <w:t xml:space="preserve"> vnt.</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ES-01</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1680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4.4.</w:t>
            </w:r>
          </w:p>
          <w:p>
            <w:pPr>
              <w:pStyle w:val="Normal"/>
              <w:widowControl w:val="false"/>
              <w:spacing w:before="0" w:after="0"/>
              <w:jc w:val="left"/>
              <w:rPr>
                <w:color w:val="auto"/>
              </w:rPr>
            </w:pPr>
            <w:r>
              <w:rPr>
                <w:rFonts w:cs="Arial" w:ascii="Arial" w:hAnsi="Arial"/>
                <w:color w:val="auto"/>
                <w:sz w:val="16"/>
                <w:szCs w:val="16"/>
              </w:rPr>
              <w:t>Tiekėjas:</w:t>
            </w:r>
          </w:p>
          <w:p>
            <w:pPr>
              <w:pStyle w:val="Normal"/>
              <w:widowControl w:val="false"/>
              <w:spacing w:before="0" w:after="0"/>
              <w:jc w:val="left"/>
              <w:rPr/>
            </w:pPr>
            <w:r>
              <w:rPr>
                <w:rFonts w:cs="Arial" w:ascii="Arial" w:hAnsi="Arial"/>
                <w:color w:val="auto"/>
                <w:sz w:val="16"/>
                <w:szCs w:val="16"/>
              </w:rPr>
              <w:t>WPC:</w:t>
            </w:r>
            <w:hyperlink r:id="rId3">
              <w:r>
                <w:rPr>
                  <w:rStyle w:val="Hyperlink"/>
                  <w:rFonts w:cs="Arial" w:ascii="Arial" w:hAnsi="Arial"/>
                  <w:color w:val="auto"/>
                  <w:sz w:val="16"/>
                  <w:szCs w:val="16"/>
                </w:rPr>
                <w:t>https://www.laukodangos.lt/</w:t>
              </w:r>
            </w:hyperlink>
          </w:p>
          <w:p>
            <w:pPr>
              <w:pStyle w:val="Normal"/>
              <w:widowControl w:val="false"/>
              <w:spacing w:before="0" w:after="0"/>
              <w:jc w:val="left"/>
              <w:rPr>
                <w:color w:val="auto"/>
              </w:rPr>
            </w:pPr>
            <w:r>
              <w:rPr>
                <w:rFonts w:cs="Arial" w:ascii="Arial" w:hAnsi="Arial"/>
                <w:color w:val="auto"/>
                <w:sz w:val="16"/>
                <w:szCs w:val="16"/>
              </w:rPr>
              <w:t>Suolų betonas:</w:t>
            </w:r>
          </w:p>
          <w:p>
            <w:pPr>
              <w:pStyle w:val="Normal"/>
              <w:widowControl w:val="false"/>
              <w:spacing w:before="0" w:after="0"/>
              <w:jc w:val="left"/>
              <w:rPr/>
            </w:pPr>
            <w:hyperlink r:id="rId4">
              <w:r>
                <w:rPr>
                  <w:rStyle w:val="Hyperlink"/>
                  <w:rFonts w:cs="Arial" w:ascii="Arial" w:hAnsi="Arial"/>
                  <w:color w:val="auto"/>
                  <w:sz w:val="16"/>
                  <w:szCs w:val="16"/>
                </w:rPr>
                <w:t>https://www.dekobetonas.lt/</w:t>
              </w:r>
            </w:hyperlink>
          </w:p>
          <w:p>
            <w:pPr>
              <w:pStyle w:val="Normal"/>
              <w:widowControl w:val="false"/>
              <w:spacing w:before="0" w:after="0"/>
              <w:jc w:val="left"/>
              <w:rPr>
                <w:rFonts w:ascii="Arial" w:hAnsi="Arial" w:cs="Arial"/>
                <w:color w:val="auto"/>
                <w:sz w:val="20"/>
                <w:szCs w:val="20"/>
              </w:rPr>
            </w:pPr>
            <w:r>
              <w:rPr>
                <w:rFonts w:cs="Arial" w:ascii="Arial" w:hAnsi="Arial"/>
                <w:color w:val="auto"/>
                <w:sz w:val="20"/>
                <w:szCs w:val="20"/>
              </w:rPr>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(1150x400x300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0,10*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0,46*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2</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ES-02</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70" w:type="dxa"/>
            <w:tcBorders>
              <w:bottom w:val="single" w:sz="4" w:space="0" w:color="000000"/>
              <w:right w:val="single" w:sz="4" w:space="0" w:color="000000"/>
            </w:tcBorders>
            <w:shd w:fill="FFFFFF" w:val="clear"/>
            <w:vAlign w:val="center"/>
          </w:tcPr>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BodyText"/>
              <w:widowControl w:val="false"/>
              <w:suppressAutoHyphens w:val="true"/>
              <w:overflowPunct w:val="false"/>
              <w:bidi w:val="0"/>
              <w:spacing w:lineRule="auto" w:line="240" w:before="0" w:after="0"/>
              <w:jc w:val="center"/>
              <w:rPr>
                <w:rFonts w:ascii="Arial" w:hAnsi="Arial" w:eastAsia="Times New Roman" w:cs="Times New Roman"/>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auto"/>
                <w:spacing w:val="0"/>
                <w:kern w:val="0"/>
                <w:sz w:val="20"/>
                <w:szCs w:val="20"/>
                <w:shd w:fill="auto" w:val="clear"/>
                <w:lang w:val="lt-LT" w:eastAsia="en-US" w:bidi="ar-SA"/>
              </w:rPr>
            </w:r>
          </w:p>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(1380x400x300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0,12*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0,55*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3</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ES-03</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70" w:type="dxa"/>
            <w:tcBorders>
              <w:bottom w:val="single" w:sz="4" w:space="0" w:color="000000"/>
              <w:right w:val="single" w:sz="4" w:space="0" w:color="000000"/>
            </w:tcBorders>
            <w:shd w:fill="FFFFFF" w:val="clear"/>
            <w:vAlign w:val="center"/>
          </w:tcPr>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BodyText"/>
              <w:widowControl w:val="false"/>
              <w:suppressAutoHyphens w:val="true"/>
              <w:overflowPunct w:val="false"/>
              <w:bidi w:val="0"/>
              <w:spacing w:lineRule="auto" w:line="240" w:before="0" w:after="0"/>
              <w:jc w:val="center"/>
              <w:rPr>
                <w:rFonts w:ascii="Arial" w:hAnsi="Arial" w:eastAsia="Times New Roman" w:cs="Times New Roman"/>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auto"/>
                <w:spacing w:val="0"/>
                <w:kern w:val="0"/>
                <w:sz w:val="20"/>
                <w:szCs w:val="20"/>
                <w:shd w:fill="auto" w:val="clear"/>
                <w:lang w:val="lt-LT" w:eastAsia="en-US" w:bidi="ar-SA"/>
              </w:rPr>
            </w:r>
          </w:p>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(1610x400x300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0,14*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0,65*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3</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ES-04</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70" w:type="dxa"/>
            <w:tcBorders>
              <w:bottom w:val="single" w:sz="4" w:space="0" w:color="000000"/>
              <w:right w:val="single" w:sz="4" w:space="0" w:color="000000"/>
            </w:tcBorders>
            <w:shd w:fill="FFFFFF" w:val="clear"/>
            <w:vAlign w:val="center"/>
          </w:tcPr>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BodyText"/>
              <w:widowControl w:val="false"/>
              <w:suppressAutoHyphens w:val="true"/>
              <w:overflowPunct w:val="false"/>
              <w:bidi w:val="0"/>
              <w:spacing w:lineRule="auto" w:line="240" w:before="0" w:after="0"/>
              <w:jc w:val="center"/>
              <w:rPr>
                <w:rFonts w:ascii="Arial" w:hAnsi="Arial" w:eastAsia="Times New Roman" w:cs="Times New Roman"/>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auto"/>
                <w:spacing w:val="0"/>
                <w:kern w:val="0"/>
                <w:sz w:val="20"/>
                <w:szCs w:val="20"/>
                <w:shd w:fill="auto" w:val="clear"/>
                <w:lang w:val="lt-LT" w:eastAsia="en-US" w:bidi="ar-SA"/>
              </w:rPr>
            </w:r>
          </w:p>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(1840x400x300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0,16*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0,75*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3</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ES-05</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70" w:type="dxa"/>
            <w:tcBorders>
              <w:bottom w:val="single" w:sz="4" w:space="0" w:color="000000"/>
              <w:right w:val="single" w:sz="4" w:space="0" w:color="000000"/>
            </w:tcBorders>
            <w:shd w:fill="FFFFFF" w:val="clear"/>
            <w:vAlign w:val="center"/>
          </w:tcPr>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BodyText"/>
              <w:widowControl w:val="false"/>
              <w:suppressAutoHyphens w:val="true"/>
              <w:overflowPunct w:val="false"/>
              <w:bidi w:val="0"/>
              <w:spacing w:lineRule="auto" w:line="240" w:before="0" w:after="0"/>
              <w:jc w:val="center"/>
              <w:rPr>
                <w:rFonts w:ascii="Arial" w:hAnsi="Arial" w:eastAsia="Times New Roman" w:cs="Times New Roman"/>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auto"/>
                <w:spacing w:val="0"/>
                <w:kern w:val="0"/>
                <w:sz w:val="20"/>
                <w:szCs w:val="20"/>
                <w:shd w:fill="auto" w:val="clear"/>
                <w:lang w:val="lt-LT" w:eastAsia="en-US" w:bidi="ar-SA"/>
              </w:rPr>
            </w:r>
          </w:p>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(2070x400x300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–0,18 *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–0,82 *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3</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ES-06</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70" w:type="dxa"/>
            <w:tcBorders>
              <w:bottom w:val="single" w:sz="4" w:space="0" w:color="000000"/>
              <w:right w:val="single" w:sz="4" w:space="0" w:color="000000"/>
            </w:tcBorders>
            <w:shd w:fill="FFFFFF" w:val="clear"/>
            <w:vAlign w:val="center"/>
          </w:tcPr>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BodyText"/>
              <w:widowControl w:val="false"/>
              <w:suppressAutoHyphens w:val="true"/>
              <w:overflowPunct w:val="false"/>
              <w:bidi w:val="0"/>
              <w:spacing w:lineRule="auto" w:line="240" w:before="0" w:after="0"/>
              <w:jc w:val="center"/>
              <w:rPr>
                <w:rFonts w:ascii="Arial" w:hAnsi="Arial" w:eastAsia="Times New Roman" w:cs="Times New Roman"/>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auto"/>
                <w:spacing w:val="0"/>
                <w:kern w:val="0"/>
                <w:sz w:val="20"/>
                <w:szCs w:val="20"/>
                <w:shd w:fill="auto" w:val="clear"/>
                <w:lang w:val="lt-LT" w:eastAsia="en-US" w:bidi="ar-SA"/>
              </w:rPr>
            </w:r>
          </w:p>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104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(2300x400x300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0,20 *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–0,92 *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3</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ES-07</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70" w:type="dxa"/>
            <w:tcBorders>
              <w:bottom w:val="single" w:sz="4" w:space="0" w:color="000000"/>
              <w:right w:val="single" w:sz="4" w:space="0" w:color="000000"/>
            </w:tcBorders>
            <w:shd w:fill="FFFFFF" w:val="clear"/>
            <w:vAlign w:val="center"/>
          </w:tcPr>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BodyText"/>
              <w:widowControl w:val="false"/>
              <w:suppressAutoHyphens w:val="true"/>
              <w:overflowPunct w:val="false"/>
              <w:bidi w:val="0"/>
              <w:spacing w:lineRule="auto" w:line="240" w:before="0" w:after="0"/>
              <w:jc w:val="center"/>
              <w:rPr>
                <w:rFonts w:ascii="Arial" w:hAnsi="Arial" w:eastAsia="Times New Roman" w:cs="Times New Roman"/>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auto"/>
                <w:spacing w:val="0"/>
                <w:kern w:val="0"/>
                <w:sz w:val="20"/>
                <w:szCs w:val="20"/>
                <w:shd w:fill="auto" w:val="clear"/>
                <w:lang w:val="lt-LT" w:eastAsia="en-US" w:bidi="ar-SA"/>
              </w:rPr>
            </w:r>
          </w:p>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(2520x400x300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0,22 *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1,00 *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3</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ES-08</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70" w:type="dxa"/>
            <w:tcBorders>
              <w:bottom w:val="single" w:sz="4" w:space="0" w:color="000000"/>
              <w:right w:val="single" w:sz="4" w:space="0" w:color="000000"/>
            </w:tcBorders>
            <w:shd w:fill="FFFFFF" w:val="clear"/>
            <w:vAlign w:val="center"/>
          </w:tcPr>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BodyText"/>
              <w:widowControl w:val="false"/>
              <w:suppressAutoHyphens w:val="true"/>
              <w:overflowPunct w:val="false"/>
              <w:bidi w:val="0"/>
              <w:spacing w:lineRule="auto" w:line="240" w:before="0" w:after="0"/>
              <w:jc w:val="center"/>
              <w:rPr>
                <w:rFonts w:ascii="Arial" w:hAnsi="Arial" w:eastAsia="Times New Roman" w:cs="Times New Roman"/>
                <w:b w:val="false"/>
                <w:i/>
                <w:i/>
                <w:iCs/>
                <w:caps w:val="false"/>
                <w:smallCaps w:val="false"/>
                <w:color w:val="auto"/>
                <w:spacing w:val="0"/>
                <w:kern w:val="0"/>
                <w:sz w:val="16"/>
                <w:szCs w:val="16"/>
                <w:u w:val="none"/>
                <w:shd w:fill="auto" w:val="clear"/>
                <w:lang w:val="lt-LT" w:eastAsia="en-US" w:bidi="ar-SA"/>
              </w:rPr>
            </w:pPr>
            <w:r>
              <w:rPr>
                <w:rFonts w:eastAsia="Times New Roman" w:cs="Times New Roman" w:ascii="Arial" w:hAnsi="Arial"/>
                <w:b w:val="false"/>
                <w:i/>
                <w:iCs/>
                <w:caps w:val="false"/>
                <w:smallCaps w:val="false"/>
                <w:color w:val="auto"/>
                <w:spacing w:val="0"/>
                <w:kern w:val="0"/>
                <w:sz w:val="16"/>
                <w:szCs w:val="16"/>
                <w:u w:val="none"/>
                <w:shd w:fill="auto" w:val="clear"/>
                <w:lang w:val="lt-LT" w:eastAsia="en-US" w:bidi="ar-SA"/>
              </w:rPr>
            </w:r>
          </w:p>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57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(2750x400x300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–0,24 *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1,1*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4</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ES-09</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70" w:type="dxa"/>
            <w:tcBorders>
              <w:bottom w:val="single" w:sz="4" w:space="0" w:color="000000"/>
              <w:right w:val="single" w:sz="4" w:space="0" w:color="000000"/>
            </w:tcBorders>
            <w:shd w:fill="FFFFFF" w:val="clear"/>
            <w:vAlign w:val="center"/>
          </w:tcPr>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BodyText"/>
              <w:widowControl w:val="false"/>
              <w:suppressAutoHyphens w:val="true"/>
              <w:overflowPunct w:val="false"/>
              <w:bidi w:val="0"/>
              <w:spacing w:lineRule="auto" w:line="240" w:before="0" w:after="0"/>
              <w:jc w:val="center"/>
              <w:rPr>
                <w:rFonts w:ascii="Arial" w:hAnsi="Arial" w:eastAsia="Times New Roman" w:cs="Times New Roman"/>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auto"/>
                <w:spacing w:val="0"/>
                <w:kern w:val="0"/>
                <w:sz w:val="20"/>
                <w:szCs w:val="20"/>
                <w:shd w:fill="auto" w:val="clear"/>
                <w:lang w:val="lt-LT" w:eastAsia="en-US" w:bidi="ar-SA"/>
              </w:rPr>
            </w:r>
          </w:p>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5.20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(2980x400x300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0,26 *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1,19 *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4</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ES-10</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70" w:type="dxa"/>
            <w:tcBorders>
              <w:bottom w:val="single" w:sz="4" w:space="0" w:color="000000"/>
              <w:right w:val="single" w:sz="4" w:space="0" w:color="000000"/>
            </w:tcBorders>
            <w:shd w:fill="FFFFFF" w:val="clear"/>
            <w:vAlign w:val="center"/>
          </w:tcPr>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BodyText"/>
              <w:widowControl w:val="false"/>
              <w:suppressAutoHyphens w:val="true"/>
              <w:overflowPunct w:val="false"/>
              <w:bidi w:val="0"/>
              <w:spacing w:lineRule="auto" w:line="240" w:before="0" w:after="0"/>
              <w:jc w:val="center"/>
              <w:rPr>
                <w:rFonts w:ascii="Arial" w:hAnsi="Arial" w:eastAsia="Times New Roman" w:cs="Times New Roman"/>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auto"/>
                <w:spacing w:val="0"/>
                <w:kern w:val="0"/>
                <w:sz w:val="20"/>
                <w:szCs w:val="20"/>
                <w:shd w:fill="auto" w:val="clear"/>
                <w:lang w:val="lt-LT" w:eastAsia="en-US" w:bidi="ar-SA"/>
              </w:rPr>
            </w:r>
          </w:p>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5.21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000000"/>
                <w:sz w:val="20"/>
                <w:szCs w:val="20"/>
                <w:shd w:fill="auto" w:val="clear"/>
              </w:rPr>
              <w:t>Nerūdijančio plieno plokštelių/ ženklų įrengimas estrados eilių ženklinimui</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color w:val="auto"/>
                <w:sz w:val="20"/>
                <w:szCs w:val="20"/>
              </w:rPr>
            </w:pPr>
            <w:r>
              <w:rPr>
                <w:rFonts w:ascii="Arial" w:hAnsi="Arial"/>
                <w:color w:val="auto"/>
                <w:sz w:val="20"/>
                <w:szCs w:val="20"/>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780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position w:val="0"/>
                <w:sz w:val="20"/>
                <w:sz w:val="20"/>
                <w:szCs w:val="20"/>
                <w:vertAlign w:val="baseline"/>
              </w:rPr>
              <w:t>4.6.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5.22.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000000"/>
                <w:sz w:val="20"/>
                <w:szCs w:val="20"/>
                <w:shd w:fill="auto" w:val="clear"/>
              </w:rPr>
              <w:t>Nerūdijančio plieno metalinė tvorelė su 2 vnt. dvigubų vartelių. h-1,1 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rPr>
                <w:rFonts w:ascii="Arial" w:hAnsi="Arial"/>
                <w:color w:val="auto"/>
                <w:sz w:val="20"/>
                <w:szCs w:val="20"/>
                <w:shd w:fill="auto" w:val="clear"/>
              </w:rPr>
            </w:pPr>
            <w:r>
              <w:rPr>
                <w:rFonts w:ascii="Arial" w:hAnsi="Arial"/>
                <w:color w:val="auto"/>
                <w:sz w:val="20"/>
                <w:szCs w:val="20"/>
                <w:shd w:fill="auto" w:val="clear"/>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139,00</w:t>
            </w:r>
          </w:p>
        </w:tc>
        <w:tc>
          <w:tcPr>
            <w:tcW w:w="1470" w:type="dxa"/>
            <w:tcBorders>
              <w:bottom w:val="single" w:sz="4" w:space="0" w:color="000000"/>
              <w:right w:val="single" w:sz="4" w:space="0" w:color="000000"/>
            </w:tcBorders>
            <w:shd w:fill="FFFFFF" w:val="clear"/>
            <w:vAlign w:val="center"/>
          </w:tcPr>
          <w:p>
            <w:pPr>
              <w:pStyle w:val="Normal"/>
              <w:widowControl w:val="false"/>
              <w:spacing w:lineRule="auto" w:line="240" w:before="0" w:after="0"/>
              <w:rPr>
                <w:rFonts w:ascii="Arial" w:hAnsi="Arial"/>
                <w:color w:val="auto"/>
                <w:sz w:val="20"/>
                <w:szCs w:val="20"/>
                <w:shd w:fill="auto" w:val="clear"/>
              </w:rPr>
            </w:pPr>
            <w:r>
              <w:rPr>
                <w:rFonts w:ascii="Arial" w:hAnsi="Arial"/>
                <w:color w:val="auto"/>
                <w:sz w:val="20"/>
                <w:szCs w:val="20"/>
                <w:shd w:fill="auto" w:val="clear"/>
              </w:rPr>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5.2.3.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000000"/>
                <w:sz w:val="20"/>
                <w:szCs w:val="20"/>
                <w:shd w:fill="auto" w:val="clear"/>
              </w:rPr>
              <w:t>Pusiau požeminiai šiukšlių konteineriai (5 m</w:t>
            </w:r>
            <w:r>
              <w:rPr>
                <w:rFonts w:ascii="Arial" w:hAnsi="Arial"/>
                <w:color w:val="000000"/>
                <w:sz w:val="20"/>
                <w:szCs w:val="20"/>
                <w:shd w:fill="auto" w:val="clear"/>
                <w:vertAlign w:val="superscript"/>
              </w:rPr>
              <w:t xml:space="preserve">3 </w:t>
            </w:r>
            <w:r>
              <w:rPr>
                <w:rFonts w:ascii="Arial" w:hAnsi="Arial"/>
                <w:color w:val="000000"/>
                <w:position w:val="0"/>
                <w:sz w:val="20"/>
                <w:sz w:val="20"/>
                <w:szCs w:val="20"/>
                <w:shd w:fill="auto" w:val="clear"/>
                <w:vertAlign w:val="baseline"/>
              </w:rPr>
              <w:t>talpos)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rPr>
                <w:rFonts w:ascii="Arial" w:hAnsi="Arial"/>
                <w:color w:val="auto"/>
                <w:sz w:val="20"/>
                <w:szCs w:val="20"/>
                <w:shd w:fill="auto" w:val="clear"/>
              </w:rPr>
            </w:pPr>
            <w:r>
              <w:rPr>
                <w:rFonts w:ascii="Arial" w:hAnsi="Arial"/>
                <w:color w:val="auto"/>
                <w:sz w:val="20"/>
                <w:szCs w:val="20"/>
                <w:shd w:fill="auto" w:val="clear"/>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3</w:t>
            </w:r>
          </w:p>
        </w:tc>
        <w:tc>
          <w:tcPr>
            <w:tcW w:w="1470"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4.10.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5.2.4.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000000"/>
                <w:sz w:val="20"/>
                <w:szCs w:val="20"/>
                <w:shd w:fill="auto" w:val="clear"/>
              </w:rPr>
              <w:t>Pusiau požeminiai šiukšlių konteineriai (3 m</w:t>
            </w:r>
            <w:r>
              <w:rPr>
                <w:rFonts w:ascii="Arial" w:hAnsi="Arial"/>
                <w:color w:val="000000"/>
                <w:sz w:val="20"/>
                <w:szCs w:val="20"/>
                <w:shd w:fill="auto" w:val="clear"/>
                <w:vertAlign w:val="superscript"/>
              </w:rPr>
              <w:t xml:space="preserve">3 </w:t>
            </w:r>
            <w:r>
              <w:rPr>
                <w:rFonts w:ascii="Arial" w:hAnsi="Arial"/>
                <w:color w:val="000000"/>
                <w:position w:val="0"/>
                <w:sz w:val="20"/>
                <w:sz w:val="20"/>
                <w:szCs w:val="20"/>
                <w:shd w:fill="auto" w:val="clear"/>
                <w:vertAlign w:val="baseline"/>
              </w:rPr>
              <w:t>talpos)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rPr>
                <w:rFonts w:ascii="Arial" w:hAnsi="Arial"/>
                <w:color w:val="auto"/>
                <w:sz w:val="20"/>
                <w:szCs w:val="20"/>
                <w:shd w:fill="auto" w:val="clear"/>
              </w:rPr>
            </w:pPr>
            <w:r>
              <w:rPr>
                <w:rFonts w:ascii="Arial" w:hAnsi="Arial"/>
                <w:color w:val="auto"/>
                <w:sz w:val="20"/>
                <w:szCs w:val="20"/>
                <w:shd w:fill="auto" w:val="clear"/>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1</w:t>
            </w:r>
          </w:p>
        </w:tc>
        <w:tc>
          <w:tcPr>
            <w:tcW w:w="1470"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4.10.</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rPr>
              <w:t>6.</w:t>
            </w:r>
          </w:p>
        </w:tc>
        <w:tc>
          <w:tcPr>
            <w:tcW w:w="8153" w:type="dxa"/>
            <w:gridSpan w:val="4"/>
            <w:tcBorders>
              <w:top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cs="Arial" w:ascii="Arial" w:hAnsi="Arial"/>
                <w:b/>
                <w:bCs/>
                <w:color w:val="auto"/>
                <w:sz w:val="20"/>
                <w:szCs w:val="20"/>
              </w:rPr>
              <w:t>Vaikų žaidimų aikštelė (06)</w:t>
            </w:r>
          </w:p>
        </w:tc>
        <w:tc>
          <w:tcPr>
            <w:tcW w:w="1470" w:type="dxa"/>
            <w:tcBorders>
              <w:top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6.1</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ŽA01</w:t>
            </w:r>
          </w:p>
        </w:tc>
        <w:tc>
          <w:tcPr>
            <w:tcW w:w="7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ŽA02</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ŽA03</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32"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ŽA04</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ŽA05</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4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ŽA06</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313"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ŽA07</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ŽA08</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328"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ŽA09</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2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ŽA10</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2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ŽA11</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2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ŽA12</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2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ŽA13</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2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ŽA14</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48"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ŽA15</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48"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ŽA16</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color w:val="auto"/>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48"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ŽA17</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color w:val="auto"/>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48"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ŽA18</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color w:val="auto"/>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rPr>
              <w:t>7.</w:t>
            </w:r>
          </w:p>
        </w:tc>
        <w:tc>
          <w:tcPr>
            <w:tcW w:w="8153" w:type="dxa"/>
            <w:gridSpan w:val="4"/>
            <w:tcBorders>
              <w:top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left"/>
              <w:rPr>
                <w:color w:val="auto"/>
              </w:rPr>
            </w:pPr>
            <w:r>
              <w:rPr>
                <w:rFonts w:cs="Arial" w:ascii="Arial" w:hAnsi="Arial"/>
                <w:b/>
                <w:bCs/>
                <w:color w:val="auto"/>
                <w:sz w:val="20"/>
                <w:szCs w:val="20"/>
                <w:lang w:eastAsia="lt-LT"/>
              </w:rPr>
              <w:t>Aktyvaus laisvalaikio zona – daugiafunkcė dviračių trasa „Pump track“ (08)</w:t>
            </w:r>
          </w:p>
          <w:p>
            <w:pPr>
              <w:pStyle w:val="Normal"/>
              <w:widowControl w:val="false"/>
              <w:spacing w:lineRule="auto" w:line="240" w:before="0" w:after="0"/>
              <w:jc w:val="left"/>
              <w:rPr>
                <w:color w:val="auto"/>
              </w:rPr>
            </w:pPr>
            <w:r>
              <w:rPr>
                <w:rFonts w:cs="Arial" w:ascii="Arial" w:hAnsi="Arial"/>
                <w:b w:val="false"/>
                <w:bCs w:val="false"/>
                <w:color w:val="auto"/>
                <w:sz w:val="20"/>
                <w:szCs w:val="20"/>
                <w:lang w:eastAsia="lt-LT"/>
              </w:rPr>
              <w:t>(Elementų važiuojamieji paviršiai skaičiuojami vertikalūs ir horizontalūs)</w:t>
            </w:r>
          </w:p>
        </w:tc>
        <w:tc>
          <w:tcPr>
            <w:tcW w:w="1470" w:type="dxa"/>
            <w:tcBorders>
              <w:top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000000"/>
                <w:sz w:val="20"/>
                <w:szCs w:val="20"/>
                <w:shd w:fill="auto" w:val="clear"/>
              </w:rPr>
              <w:t>7.1.</w:t>
            </w:r>
          </w:p>
        </w:tc>
        <w:tc>
          <w:tcPr>
            <w:tcW w:w="8153" w:type="dxa"/>
            <w:gridSpan w:val="4"/>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Betono danga</w:t>
            </w:r>
          </w:p>
        </w:tc>
        <w:tc>
          <w:tcPr>
            <w:tcW w:w="1470"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000000"/>
                <w:sz w:val="20"/>
                <w:szCs w:val="20"/>
                <w:shd w:fill="auto" w:val="clear"/>
              </w:rPr>
              <w:t>4.7.</w:t>
            </w:r>
          </w:p>
          <w:p>
            <w:pPr>
              <w:pStyle w:val="Normal"/>
              <w:widowControl w:val="false"/>
              <w:spacing w:lineRule="auto" w:line="240" w:before="0" w:after="0"/>
              <w:jc w:val="center"/>
              <w:rPr>
                <w:color w:val="auto"/>
              </w:rPr>
            </w:pPr>
            <w:r>
              <w:rPr>
                <w:rFonts w:ascii="Arial" w:hAnsi="Arial"/>
                <w:b/>
                <w:bCs/>
                <w:color w:val="000000"/>
                <w:sz w:val="20"/>
                <w:szCs w:val="20"/>
                <w:shd w:fill="auto" w:val="clear"/>
              </w:rPr>
              <w:t>3.4.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7.1.1.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left"/>
              <w:rPr>
                <w:color w:val="auto"/>
              </w:rPr>
            </w:pPr>
            <w:r>
              <w:rPr>
                <w:rFonts w:cs="Arial" w:ascii="Arial" w:hAnsi="Arial"/>
                <w:b w:val="false"/>
                <w:bCs w:val="false"/>
                <w:color w:val="auto"/>
                <w:sz w:val="20"/>
                <w:szCs w:val="20"/>
                <w:lang w:eastAsia="lt-LT"/>
              </w:rPr>
              <w:t>150 mm betonas C30/37  XC2+XF3, vandens pralaidumo markė W8, šalčio atsparumo markė F150.</w:t>
            </w:r>
          </w:p>
        </w:tc>
        <w:tc>
          <w:tcPr>
            <w:tcW w:w="1016"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DB-03</w:t>
            </w:r>
          </w:p>
        </w:tc>
        <w:tc>
          <w:tcPr>
            <w:tcW w:w="714"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m</w:t>
            </w:r>
            <w:r>
              <w:rPr>
                <w:rFonts w:cs="Arial" w:ascii="Arial" w:hAnsi="Arial"/>
                <w:color w:val="auto"/>
                <w:sz w:val="20"/>
                <w:szCs w:val="20"/>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1350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7.1.2.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left"/>
              <w:rPr>
                <w:color w:val="auto"/>
              </w:rPr>
            </w:pPr>
            <w:r>
              <w:rPr>
                <w:rFonts w:cs="Arial" w:ascii="Arial" w:hAnsi="Arial"/>
                <w:b w:val="false"/>
                <w:bCs w:val="false"/>
                <w:color w:val="auto"/>
                <w:sz w:val="20"/>
                <w:szCs w:val="20"/>
                <w:lang w:eastAsia="lt-LT"/>
              </w:rPr>
              <w:t>8 mm diametro tinklelis betonui sutvirtinti. Akies dydis 150 x150 mm</w:t>
            </w:r>
          </w:p>
        </w:tc>
        <w:tc>
          <w:tcPr>
            <w:tcW w:w="1016"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s="Arial"/>
                <w:color w:val="auto"/>
                <w:sz w:val="20"/>
                <w:szCs w:val="20"/>
                <w:lang w:eastAsia="lt-LT"/>
              </w:rPr>
            </w:pPr>
            <w:r>
              <w:rPr>
                <w:rFonts w:cs="Arial" w:ascii="Arial" w:hAnsi="Arial"/>
                <w:color w:val="auto"/>
                <w:sz w:val="20"/>
                <w:szCs w:val="20"/>
                <w:lang w:eastAsia="lt-LT"/>
              </w:rPr>
            </w:r>
          </w:p>
        </w:tc>
        <w:tc>
          <w:tcPr>
            <w:tcW w:w="714"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m</w:t>
            </w:r>
            <w:r>
              <w:rPr>
                <w:rFonts w:cs="Arial" w:ascii="Arial" w:hAnsi="Arial"/>
                <w:color w:val="auto"/>
                <w:sz w:val="20"/>
                <w:szCs w:val="20"/>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1705</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7.2.</w:t>
            </w:r>
          </w:p>
        </w:tc>
        <w:tc>
          <w:tcPr>
            <w:tcW w:w="5201" w:type="dxa"/>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Betono dangos įrengimo pasluoksniai</w:t>
            </w:r>
          </w:p>
        </w:tc>
        <w:tc>
          <w:tcPr>
            <w:tcW w:w="1016"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DT-04</w:t>
            </w:r>
          </w:p>
        </w:tc>
        <w:tc>
          <w:tcPr>
            <w:tcW w:w="714"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1705</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b w:val="false"/>
                <w:bCs w:val="false"/>
                <w:color w:val="auto"/>
                <w:sz w:val="20"/>
                <w:szCs w:val="20"/>
              </w:rPr>
              <w:t>4.7.</w:t>
            </w:r>
          </w:p>
          <w:p>
            <w:pPr>
              <w:pStyle w:val="Normal"/>
              <w:widowControl w:val="false"/>
              <w:spacing w:before="0" w:after="0"/>
              <w:jc w:val="center"/>
              <w:rPr>
                <w:color w:val="auto"/>
              </w:rPr>
            </w:pPr>
            <w:r>
              <w:rPr>
                <w:rFonts w:cs="Arial" w:ascii="Arial" w:hAnsi="Arial"/>
                <w:b w:val="false"/>
                <w:bCs w:val="false"/>
                <w:color w:val="auto"/>
                <w:sz w:val="20"/>
                <w:szCs w:val="20"/>
              </w:rPr>
              <w:t>3.4.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b/>
                <w:bCs/>
                <w:color w:val="auto"/>
                <w:sz w:val="20"/>
                <w:szCs w:val="20"/>
              </w:rPr>
            </w:pPr>
            <w:r>
              <w:rPr>
                <w:rFonts w:ascii="Arial" w:hAnsi="Arial"/>
                <w:b/>
                <w:bCs/>
                <w:color w:val="auto"/>
                <w:sz w:val="20"/>
                <w:szCs w:val="20"/>
              </w:rPr>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val="false"/>
                <w:bCs w:val="false"/>
                <w:color w:val="000000"/>
                <w:sz w:val="20"/>
                <w:szCs w:val="20"/>
                <w:shd w:fill="auto" w:val="clear"/>
              </w:rPr>
              <w:t>Viršutinis sluoksnis - DB-03</w:t>
            </w:r>
          </w:p>
        </w:tc>
        <w:tc>
          <w:tcPr>
            <w:tcW w:w="1016"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s="Arial"/>
                <w:color w:val="auto"/>
                <w:sz w:val="20"/>
                <w:szCs w:val="20"/>
                <w:lang w:eastAsia="lt-LT"/>
              </w:rPr>
            </w:pPr>
            <w:r>
              <w:rPr>
                <w:rFonts w:cs="Arial" w:ascii="Arial" w:hAnsi="Arial"/>
                <w:color w:val="auto"/>
                <w:sz w:val="20"/>
                <w:szCs w:val="20"/>
                <w:lang w:eastAsia="lt-LT"/>
              </w:rPr>
            </w:r>
          </w:p>
        </w:tc>
        <w:tc>
          <w:tcPr>
            <w:tcW w:w="714"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s="Arial"/>
                <w:color w:val="auto"/>
                <w:sz w:val="20"/>
                <w:szCs w:val="20"/>
                <w:lang w:eastAsia="lt-LT"/>
              </w:rPr>
            </w:pPr>
            <w:r>
              <w:rPr>
                <w:rFonts w:cs="Arial" w:ascii="Arial" w:hAnsi="Arial"/>
                <w:color w:val="auto"/>
                <w:sz w:val="20"/>
                <w:szCs w:val="20"/>
                <w:lang w:eastAsia="lt-LT"/>
              </w:rPr>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s="Arial"/>
                <w:color w:val="auto"/>
                <w:sz w:val="20"/>
                <w:szCs w:val="20"/>
                <w:lang w:eastAsia="lt-LT"/>
              </w:rPr>
            </w:pPr>
            <w:r>
              <w:rPr>
                <w:rFonts w:cs="Arial" w:ascii="Arial" w:hAnsi="Arial"/>
                <w:color w:val="auto"/>
                <w:sz w:val="20"/>
                <w:szCs w:val="20"/>
                <w:lang w:eastAsia="lt-LT"/>
              </w:rPr>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3.4.</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7.2.1.</w:t>
            </w:r>
          </w:p>
        </w:tc>
        <w:tc>
          <w:tcPr>
            <w:tcW w:w="5201" w:type="dxa"/>
            <w:tcBorders>
              <w:top w:val="single" w:sz="4" w:space="0" w:color="000000"/>
              <w:bottom w:val="single" w:sz="4" w:space="0" w:color="000000"/>
              <w:right w:val="single" w:sz="4" w:space="0" w:color="000000"/>
            </w:tcBorders>
            <w:shd w:fill="FFFFFF" w:val="clear"/>
            <w:vAlign w:val="center"/>
          </w:tcPr>
          <w:p>
            <w:pPr>
              <w:pStyle w:val="Paprtekstas"/>
              <w:widowControl w:val="false"/>
              <w:suppressAutoHyphens w:val="true"/>
              <w:bidi w:val="0"/>
              <w:spacing w:lineRule="auto" w:line="276" w:before="0" w:after="120"/>
              <w:ind w:hanging="0"/>
              <w:rPr>
                <w:color w:val="auto"/>
              </w:rPr>
            </w:pPr>
            <w:r>
              <w:rPr>
                <w:rFonts w:eastAsia="Times New Roman" w:cs="Times New Roman"/>
                <w:color w:val="auto"/>
                <w:kern w:val="0"/>
                <w:sz w:val="20"/>
                <w:szCs w:val="20"/>
                <w:lang w:val="lt-LT" w:eastAsia="en-US" w:bidi="ar-SA"/>
              </w:rPr>
              <w:t>Žvyro skaldos fr 0 – 45mm arba dolomitinės skaldos sluoksnis fr. 0 – 32mm (150 mm)</w:t>
            </w:r>
          </w:p>
        </w:tc>
        <w:tc>
          <w:tcPr>
            <w:tcW w:w="10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bCs/>
                <w:color w:val="auto"/>
                <w:sz w:val="20"/>
                <w:szCs w:val="20"/>
              </w:rPr>
            </w:pPr>
            <w:r>
              <w:rPr>
                <w:rFonts w:ascii="Arial" w:hAnsi="Arial"/>
                <w:b/>
                <w:bCs/>
                <w:color w:val="auto"/>
                <w:sz w:val="20"/>
                <w:szCs w:val="20"/>
              </w:rPr>
            </w:r>
          </w:p>
        </w:tc>
        <w:tc>
          <w:tcPr>
            <w:tcW w:w="7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256,00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3.4.</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7.2.2.</w:t>
            </w:r>
          </w:p>
        </w:tc>
        <w:tc>
          <w:tcPr>
            <w:tcW w:w="5201" w:type="dxa"/>
            <w:tcBorders>
              <w:top w:val="single" w:sz="4" w:space="0" w:color="000000"/>
              <w:bottom w:val="single" w:sz="4" w:space="0" w:color="000000"/>
              <w:right w:val="single" w:sz="4" w:space="0" w:color="000000"/>
            </w:tcBorders>
            <w:shd w:fill="FFFFFF" w:val="clear"/>
            <w:vAlign w:val="center"/>
          </w:tcPr>
          <w:p>
            <w:pPr>
              <w:pStyle w:val="Paprtekstas"/>
              <w:widowControl w:val="false"/>
              <w:suppressAutoHyphens w:val="true"/>
              <w:bidi w:val="0"/>
              <w:spacing w:lineRule="auto" w:line="276" w:before="0" w:after="120"/>
              <w:ind w:hanging="0"/>
              <w:rPr>
                <w:color w:val="auto"/>
              </w:rPr>
            </w:pPr>
            <w:r>
              <w:rPr>
                <w:rFonts w:eastAsia="Times New Roman" w:cs="Times New Roman"/>
                <w:color w:val="auto"/>
                <w:kern w:val="0"/>
                <w:sz w:val="20"/>
                <w:szCs w:val="20"/>
                <w:lang w:val="lt-LT" w:eastAsia="en-US" w:bidi="ar-SA"/>
              </w:rPr>
              <w:t>Šalčiui atsparus smėlio - žvyro sluoksnis fr. 0 – 32mm (380 mm)</w:t>
            </w:r>
          </w:p>
        </w:tc>
        <w:tc>
          <w:tcPr>
            <w:tcW w:w="10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bCs/>
                <w:color w:val="auto"/>
                <w:sz w:val="20"/>
                <w:szCs w:val="20"/>
              </w:rPr>
            </w:pPr>
            <w:r>
              <w:rPr>
                <w:rFonts w:ascii="Arial" w:hAnsi="Arial"/>
                <w:b/>
                <w:bCs/>
                <w:color w:val="auto"/>
                <w:sz w:val="20"/>
                <w:szCs w:val="20"/>
              </w:rPr>
            </w:r>
          </w:p>
        </w:tc>
        <w:tc>
          <w:tcPr>
            <w:tcW w:w="7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648,00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3.4.</w:t>
            </w:r>
          </w:p>
        </w:tc>
      </w:tr>
      <w:tr>
        <w:trPr>
          <w:trHeight w:val="285"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w:t>
            </w:r>
          </w:p>
        </w:tc>
        <w:tc>
          <w:tcPr>
            <w:tcW w:w="9623" w:type="dxa"/>
            <w:gridSpan w:val="5"/>
            <w:tcBorders>
              <w:bottom w:val="single" w:sz="4" w:space="0" w:color="000000"/>
              <w:right w:val="single" w:sz="4" w:space="0" w:color="000000"/>
            </w:tcBorders>
            <w:shd w:fill="ABABAB" w:val="clear"/>
            <w:vAlign w:val="center"/>
          </w:tcPr>
          <w:p>
            <w:pPr>
              <w:pStyle w:val="Normal"/>
              <w:widowControl w:val="false"/>
              <w:spacing w:lineRule="auto" w:line="240" w:before="0" w:after="0"/>
              <w:jc w:val="left"/>
              <w:rPr>
                <w:color w:val="auto"/>
              </w:rPr>
            </w:pPr>
            <w:r>
              <w:rPr>
                <w:rFonts w:cs="Arial" w:ascii="Arial" w:hAnsi="Arial"/>
                <w:b/>
                <w:bCs/>
                <w:color w:val="auto"/>
                <w:sz w:val="20"/>
                <w:szCs w:val="20"/>
                <w:lang w:eastAsia="lt-LT"/>
              </w:rPr>
              <w:t>Aktyvaus laisvalaikio zona – daugiafunkcė dviračių trasa „Pump track“ įrenginiai</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7.3.1</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lang w:eastAsia="lt-LT"/>
              </w:rPr>
              <w:t>Rampa. Konsolinė rampa 2,0 m aukščio ir 7 m pločio</w:t>
            </w:r>
          </w:p>
        </w:tc>
        <w:tc>
          <w:tcPr>
            <w:tcW w:w="10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DT-3.1</w:t>
            </w:r>
          </w:p>
        </w:tc>
        <w:tc>
          <w:tcPr>
            <w:tcW w:w="7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24,00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7.3.2</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Piraminės kampas. Rampos aukštis 80 cm</w:t>
            </w:r>
          </w:p>
        </w:tc>
        <w:tc>
          <w:tcPr>
            <w:tcW w:w="10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DT-3.2</w:t>
            </w:r>
          </w:p>
        </w:tc>
        <w:tc>
          <w:tcPr>
            <w:tcW w:w="7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32,00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Banga. Bangos aukštis 30 cm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DT-3.3</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13,50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Bangos posūkis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DT-3.4</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13,50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Vulkanas. Elemento aukštis 1,2 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DT-3.5</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33,00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Bangų kompleksas. Trys iš eilės einančios bangos, kurių kiekvienos aukštis 40 cm ir iš abiejų pusių eina banguojantys čiuožimo turėklai</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DT-3.6</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45,00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Pusrampių piramidės kampas. Elemento aukštis 1,2 m. Briaunos „roll in“ tipo</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DT-3.7</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29,00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Elipsinė rampa. Rampos aukštis 1,25 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DT-3.8</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15,00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Banga. Bangos aukštius 90 cm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DT-3.9</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29,60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7.2.10.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Elipsinė rampa. Rampos aukštis 1,20 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DT-3.10</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16,50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Banga. Bangos aukštis 40 cm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DT-3.11</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11,00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2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Banga. Bangos aukštis 85 cm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DT-3.12</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13,40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2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Pusrampė. Pusrampės aukštis 80 cm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DT-3.13</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22,40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2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Banga. Bangos aukštis 40 cm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DT-3.14</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11,00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553"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Pusrampė. Pusrampės aukštis 1,30 m. Bendras ilgis 10 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DT-3.15</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30,00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2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Banga. Bangos aukštis 40 cm.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DT-3.16</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19,00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2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Banga su „Euro gap“. Bangos aukštis 40 cm.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DT-3.17</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22,80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2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Banga. Bangos aukštis 40 cm.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DT-3.18</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11,00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2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Šuolių rampa. Rampos aukštis 60 cm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DT-3.19</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46,00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rPr>
              <w:t>8.</w:t>
            </w:r>
          </w:p>
        </w:tc>
        <w:tc>
          <w:tcPr>
            <w:tcW w:w="8153" w:type="dxa"/>
            <w:gridSpan w:val="4"/>
            <w:tcBorders>
              <w:top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cs="Arial" w:ascii="Arial" w:hAnsi="Arial"/>
                <w:b/>
                <w:bCs/>
                <w:color w:val="auto"/>
                <w:sz w:val="20"/>
                <w:szCs w:val="20"/>
              </w:rPr>
              <w:t xml:space="preserve">Aktyvaus laisvalaikio zona – „Skate Plaza“ parkas (09) </w:t>
            </w:r>
            <w:r>
              <w:rPr>
                <w:rFonts w:cs="Arial" w:ascii="Arial" w:hAnsi="Arial"/>
                <w:b w:val="false"/>
                <w:bCs w:val="false"/>
                <w:color w:val="auto"/>
                <w:sz w:val="20"/>
                <w:szCs w:val="20"/>
                <w:lang w:eastAsia="lt-LT"/>
              </w:rPr>
              <w:t>(Elementų važiuojamieji paviršiai skaičiuojami vertikalūs ir horizontalūs)</w:t>
            </w:r>
          </w:p>
        </w:tc>
        <w:tc>
          <w:tcPr>
            <w:tcW w:w="1470" w:type="dxa"/>
            <w:tcBorders>
              <w:top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85"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rPr>
              <w:t>8.1.</w:t>
            </w:r>
          </w:p>
        </w:tc>
        <w:tc>
          <w:tcPr>
            <w:tcW w:w="8153" w:type="dxa"/>
            <w:gridSpan w:val="4"/>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cs="Arial" w:ascii="Arial" w:hAnsi="Arial"/>
                <w:b/>
                <w:bCs/>
                <w:color w:val="auto"/>
                <w:sz w:val="20"/>
                <w:szCs w:val="20"/>
              </w:rPr>
              <w:t>Betono danga</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p>
            <w:pPr>
              <w:pStyle w:val="Normal"/>
              <w:widowControl w:val="false"/>
              <w:spacing w:before="0" w:after="0"/>
              <w:jc w:val="center"/>
              <w:rPr>
                <w:color w:val="auto"/>
              </w:rPr>
            </w:pPr>
            <w:r>
              <w:rPr>
                <w:rFonts w:cs="Arial" w:ascii="Arial" w:hAnsi="Arial"/>
                <w:color w:val="auto"/>
                <w:sz w:val="20"/>
                <w:szCs w:val="20"/>
                <w:lang w:eastAsia="lt-LT"/>
              </w:rPr>
              <w:t>3.4.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8.1.1.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left"/>
              <w:rPr>
                <w:color w:val="auto"/>
              </w:rPr>
            </w:pPr>
            <w:r>
              <w:rPr>
                <w:rFonts w:cs="Arial" w:ascii="Arial" w:hAnsi="Arial"/>
                <w:b w:val="false"/>
                <w:bCs w:val="false"/>
                <w:color w:val="auto"/>
                <w:sz w:val="20"/>
                <w:szCs w:val="20"/>
                <w:lang w:eastAsia="lt-LT"/>
              </w:rPr>
              <w:t>150 mm betonas C30/37  XC2+XF3, vandens pralaidumo markė W8, šalčio atsparumo markė F150.</w:t>
            </w:r>
          </w:p>
        </w:tc>
        <w:tc>
          <w:tcPr>
            <w:tcW w:w="1016"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lang w:eastAsia="lt-LT"/>
              </w:rPr>
              <w:t>DB-03</w:t>
            </w:r>
          </w:p>
        </w:tc>
        <w:tc>
          <w:tcPr>
            <w:tcW w:w="714"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lang w:eastAsia="lt-LT"/>
              </w:rPr>
              <w:t>m</w:t>
            </w:r>
            <w:r>
              <w:rPr>
                <w:rFonts w:cs="Arial" w:ascii="Arial" w:hAnsi="Arial"/>
                <w:b w:val="false"/>
                <w:bCs w:val="false"/>
                <w:color w:val="auto"/>
                <w:sz w:val="20"/>
                <w:szCs w:val="20"/>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lang w:eastAsia="lt-LT"/>
              </w:rPr>
              <w:t>810,00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lang w:eastAsia="lt-LT"/>
              </w:rPr>
              <w:t>3.4.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8.1.2.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left"/>
              <w:rPr>
                <w:color w:val="auto"/>
              </w:rPr>
            </w:pPr>
            <w:r>
              <w:rPr>
                <w:rFonts w:cs="Arial" w:ascii="Arial" w:hAnsi="Arial"/>
                <w:b w:val="false"/>
                <w:bCs w:val="false"/>
                <w:color w:val="auto"/>
                <w:sz w:val="20"/>
                <w:szCs w:val="20"/>
                <w:lang w:eastAsia="lt-LT"/>
              </w:rPr>
              <w:t>8 mm diametro tinklelis betonui sutvirtinti. Akies dydis 150 x150 mm</w:t>
            </w:r>
          </w:p>
        </w:tc>
        <w:tc>
          <w:tcPr>
            <w:tcW w:w="1016"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s="Arial"/>
                <w:b w:val="false"/>
                <w:bCs w:val="false"/>
                <w:color w:val="auto"/>
                <w:sz w:val="20"/>
                <w:szCs w:val="20"/>
                <w:lang w:eastAsia="lt-LT"/>
              </w:rPr>
            </w:pPr>
            <w:r>
              <w:rPr>
                <w:rFonts w:cs="Arial" w:ascii="Arial" w:hAnsi="Arial"/>
                <w:b w:val="false"/>
                <w:bCs w:val="false"/>
                <w:color w:val="auto"/>
                <w:sz w:val="20"/>
                <w:szCs w:val="20"/>
                <w:lang w:eastAsia="lt-LT"/>
              </w:rPr>
            </w:r>
          </w:p>
        </w:tc>
        <w:tc>
          <w:tcPr>
            <w:tcW w:w="714"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lang w:eastAsia="lt-LT"/>
              </w:rPr>
              <w:t>m</w:t>
            </w:r>
            <w:r>
              <w:rPr>
                <w:rFonts w:cs="Arial" w:ascii="Arial" w:hAnsi="Arial"/>
                <w:b w:val="false"/>
                <w:bCs w:val="false"/>
                <w:color w:val="auto"/>
                <w:sz w:val="20"/>
                <w:szCs w:val="20"/>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lang w:eastAsia="lt-LT"/>
              </w:rPr>
              <w:t>1089,00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lang w:eastAsia="lt-LT"/>
              </w:rPr>
              <w:t>3.4.</w:t>
            </w:r>
          </w:p>
        </w:tc>
      </w:tr>
      <w:tr>
        <w:trPr>
          <w:trHeight w:val="285"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8.2.</w:t>
            </w:r>
          </w:p>
        </w:tc>
        <w:tc>
          <w:tcPr>
            <w:tcW w:w="5201" w:type="dxa"/>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 xml:space="preserve"> </w:t>
            </w:r>
            <w:r>
              <w:rPr>
                <w:rFonts w:ascii="Arial" w:hAnsi="Arial"/>
                <w:b/>
                <w:bCs/>
                <w:color w:val="000000"/>
                <w:sz w:val="20"/>
                <w:szCs w:val="20"/>
                <w:shd w:fill="auto" w:val="clear"/>
              </w:rPr>
              <w:t>Betono dangos įrengimo pasluoksniai</w:t>
            </w:r>
          </w:p>
        </w:tc>
        <w:tc>
          <w:tcPr>
            <w:tcW w:w="1016"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DT-04</w:t>
            </w:r>
          </w:p>
        </w:tc>
        <w:tc>
          <w:tcPr>
            <w:tcW w:w="714"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000000"/>
                <w:position w:val="0"/>
                <w:sz w:val="20"/>
                <w:sz w:val="20"/>
                <w:szCs w:val="20"/>
                <w:shd w:fill="auto" w:val="clear"/>
                <w:vertAlign w:val="baseline"/>
                <w:lang w:eastAsia="lt-LT"/>
              </w:rPr>
              <w:t>m</w:t>
            </w:r>
            <w:r>
              <w:rPr>
                <w:rFonts w:ascii="Arial" w:hAnsi="Arial"/>
                <w:b/>
                <w:bCs/>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1089,00</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b/>
                <w:bCs/>
                <w:color w:val="auto"/>
                <w:sz w:val="20"/>
                <w:szCs w:val="20"/>
              </w:rPr>
              <w:t>4.8.</w:t>
            </w:r>
          </w:p>
          <w:p>
            <w:pPr>
              <w:pStyle w:val="Normal"/>
              <w:widowControl w:val="false"/>
              <w:spacing w:before="0" w:after="0"/>
              <w:jc w:val="center"/>
              <w:rPr>
                <w:color w:val="auto"/>
              </w:rPr>
            </w:pPr>
            <w:r>
              <w:rPr>
                <w:rFonts w:cs="Arial" w:ascii="Arial" w:hAnsi="Arial"/>
                <w:b/>
                <w:bCs/>
                <w:color w:val="auto"/>
                <w:sz w:val="20"/>
                <w:szCs w:val="20"/>
              </w:rPr>
              <w:t>3.4.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9623" w:type="dxa"/>
            <w:gridSpan w:val="5"/>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val="false"/>
                <w:bCs w:val="false"/>
                <w:color w:val="000000"/>
                <w:sz w:val="20"/>
                <w:szCs w:val="20"/>
                <w:shd w:fill="auto" w:val="clear"/>
              </w:rPr>
              <w:t>Viršutinis sluoksnis - DB-03</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8.2.1.</w:t>
            </w:r>
          </w:p>
        </w:tc>
        <w:tc>
          <w:tcPr>
            <w:tcW w:w="5201" w:type="dxa"/>
            <w:tcBorders>
              <w:top w:val="single" w:sz="4" w:space="0" w:color="000000"/>
              <w:bottom w:val="single" w:sz="4" w:space="0" w:color="000000"/>
              <w:right w:val="single" w:sz="4" w:space="0" w:color="000000"/>
            </w:tcBorders>
            <w:shd w:fill="FFFFFF" w:val="clear"/>
            <w:vAlign w:val="center"/>
          </w:tcPr>
          <w:p>
            <w:pPr>
              <w:pStyle w:val="Paprtekstas"/>
              <w:widowControl w:val="false"/>
              <w:suppressAutoHyphens w:val="true"/>
              <w:bidi w:val="0"/>
              <w:spacing w:lineRule="auto" w:line="276" w:before="0" w:after="120"/>
              <w:ind w:hanging="0"/>
              <w:rPr>
                <w:color w:val="auto"/>
              </w:rPr>
            </w:pPr>
            <w:r>
              <w:rPr>
                <w:rFonts w:eastAsia="Times New Roman" w:cs="Times New Roman"/>
                <w:b w:val="false"/>
                <w:bCs w:val="false"/>
                <w:color w:val="auto"/>
                <w:kern w:val="0"/>
                <w:sz w:val="20"/>
                <w:szCs w:val="20"/>
                <w:lang w:val="lt-LT" w:eastAsia="en-US" w:bidi="ar-SA"/>
              </w:rPr>
              <w:t>Žvyro skaldos fr 0 – 45mm arba dolomitinės skaldos sluoksnis fr. 0 – 32mm (150 mm)</w:t>
            </w:r>
          </w:p>
        </w:tc>
        <w:tc>
          <w:tcPr>
            <w:tcW w:w="10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7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165,00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rPr>
              <w:t>3.4.</w:t>
            </w:r>
          </w:p>
        </w:tc>
      </w:tr>
      <w:tr>
        <w:trPr>
          <w:trHeight w:val="249"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8.2.2.</w:t>
            </w:r>
          </w:p>
        </w:tc>
        <w:tc>
          <w:tcPr>
            <w:tcW w:w="5201" w:type="dxa"/>
            <w:tcBorders>
              <w:top w:val="single" w:sz="4" w:space="0" w:color="000000"/>
              <w:bottom w:val="single" w:sz="4" w:space="0" w:color="000000"/>
              <w:right w:val="single" w:sz="4" w:space="0" w:color="000000"/>
            </w:tcBorders>
            <w:shd w:fill="FFFFFF" w:val="clear"/>
            <w:vAlign w:val="center"/>
          </w:tcPr>
          <w:p>
            <w:pPr>
              <w:pStyle w:val="Paprtekstas"/>
              <w:widowControl w:val="false"/>
              <w:suppressAutoHyphens w:val="true"/>
              <w:bidi w:val="0"/>
              <w:spacing w:lineRule="auto" w:line="276" w:before="0" w:after="120"/>
              <w:ind w:hanging="0"/>
              <w:rPr>
                <w:color w:val="auto"/>
              </w:rPr>
            </w:pPr>
            <w:r>
              <w:rPr>
                <w:rFonts w:eastAsia="Times New Roman" w:cs="Times New Roman"/>
                <w:b w:val="false"/>
                <w:bCs w:val="false"/>
                <w:color w:val="auto"/>
                <w:kern w:val="0"/>
                <w:sz w:val="20"/>
                <w:szCs w:val="20"/>
                <w:lang w:val="lt-LT" w:eastAsia="en-US" w:bidi="ar-SA"/>
              </w:rPr>
              <w:t>Šalčiui atsparus smėlio - žvyro sluoksnis fr. 0 – 32mm (380 mm)</w:t>
            </w:r>
          </w:p>
        </w:tc>
        <w:tc>
          <w:tcPr>
            <w:tcW w:w="10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7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418,00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rPr>
              <w:t>3.4.</w:t>
            </w:r>
          </w:p>
        </w:tc>
      </w:tr>
      <w:tr>
        <w:trPr>
          <w:trHeight w:val="249"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8.3.</w:t>
            </w:r>
          </w:p>
        </w:tc>
        <w:tc>
          <w:tcPr>
            <w:tcW w:w="8153" w:type="dxa"/>
            <w:gridSpan w:val="4"/>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cs="Arial" w:ascii="Arial" w:hAnsi="Arial"/>
                <w:b/>
                <w:bCs/>
                <w:color w:val="auto"/>
                <w:sz w:val="20"/>
                <w:szCs w:val="20"/>
              </w:rPr>
              <w:t>Aktyvaus laisvalaikio zona – „Skate Plaza“ parkas įrenginiai</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rFonts w:ascii="Arial" w:hAnsi="Arial" w:cs="Arial"/>
                <w:b w:val="false"/>
                <w:bCs w:val="false"/>
                <w:color w:val="auto"/>
                <w:sz w:val="20"/>
                <w:szCs w:val="20"/>
              </w:rPr>
            </w:pPr>
            <w:r>
              <w:rPr>
                <w:rFonts w:cs="Arial" w:ascii="Arial" w:hAnsi="Arial"/>
                <w:b w:val="false"/>
                <w:bCs w:val="false"/>
                <w:color w:val="auto"/>
                <w:sz w:val="20"/>
                <w:szCs w:val="20"/>
              </w:rPr>
            </w:r>
          </w:p>
        </w:tc>
      </w:tr>
      <w:tr>
        <w:trPr>
          <w:trHeight w:val="234"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8.3.1.</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lang w:eastAsia="lt-LT"/>
              </w:rPr>
              <w:t>„</w:t>
            </w:r>
            <w:r>
              <w:rPr>
                <w:rFonts w:cs="Arial" w:ascii="Arial" w:hAnsi="Arial"/>
                <w:b w:val="false"/>
                <w:bCs w:val="false"/>
                <w:color w:val="auto"/>
                <w:sz w:val="20"/>
                <w:szCs w:val="20"/>
                <w:lang w:eastAsia="lt-LT"/>
              </w:rPr>
              <w:t>China bank“ pusrampė. Pusrampės aukštis 100 cm</w:t>
            </w:r>
          </w:p>
        </w:tc>
        <w:tc>
          <w:tcPr>
            <w:tcW w:w="10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SPP-3</w:t>
            </w:r>
          </w:p>
        </w:tc>
        <w:tc>
          <w:tcPr>
            <w:tcW w:w="7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24,00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319"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8.3.2.</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Daugiafunkcė gatvės stiliaus rampa. Rampą susidaro iš 25 cm aukščio balansinio pado, šuolių rampos ir dviejų žemėjančių čiuožimo bortų</w:t>
            </w:r>
          </w:p>
        </w:tc>
        <w:tc>
          <w:tcPr>
            <w:tcW w:w="10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SPP-4</w:t>
            </w:r>
          </w:p>
        </w:tc>
        <w:tc>
          <w:tcPr>
            <w:tcW w:w="7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18,00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31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Čiuožimo bortas. Borto ilgis 3,5 m, aukštis 30 cm.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SPP-5</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31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w:t>
            </w:r>
            <w:r>
              <w:rPr>
                <w:rFonts w:cs="Arial" w:ascii="Arial" w:hAnsi="Arial"/>
                <w:b w:val="false"/>
                <w:bCs w:val="false"/>
                <w:color w:val="auto"/>
                <w:sz w:val="20"/>
                <w:szCs w:val="20"/>
              </w:rPr>
              <w:t>Pole jam“ elementas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SPP-6</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31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Čiuožimo bortas. Borto ilgis 3,5 m, aukštis 35 cm.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SPP-7</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w:t>
            </w:r>
            <w:r>
              <w:rPr>
                <w:rFonts w:cs="Arial" w:ascii="Arial" w:hAnsi="Arial"/>
                <w:b w:val="false"/>
                <w:bCs w:val="false"/>
                <w:color w:val="auto"/>
                <w:sz w:val="20"/>
                <w:szCs w:val="20"/>
              </w:rPr>
              <w:t>Curb“ čiuožimo elementas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SPP-8</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w:t>
            </w:r>
            <w:r>
              <w:rPr>
                <w:rFonts w:cs="Arial" w:ascii="Arial" w:hAnsi="Arial"/>
                <w:b w:val="false"/>
                <w:bCs w:val="false"/>
                <w:color w:val="auto"/>
                <w:sz w:val="20"/>
                <w:szCs w:val="20"/>
              </w:rPr>
              <w:t>A frame“ čiuožimo bortas. Borto bendras ilgis 5,1 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SPP-9</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Čiuožimo turėklas. Turėklo ilgis – 4,0 m, aukštis 30 cm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SPP-10</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w:t>
            </w:r>
            <w:r>
              <w:rPr>
                <w:rFonts w:cs="Arial" w:ascii="Arial" w:hAnsi="Arial"/>
                <w:b w:val="false"/>
                <w:bCs w:val="false"/>
                <w:color w:val="auto"/>
                <w:sz w:val="20"/>
                <w:szCs w:val="20"/>
              </w:rPr>
              <w:t>Kicker“ rampa. Rampos aukštis 35 cm.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SPP-11</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Banga. Bangos aukštis 45 cm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SPP-12</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12,50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Pusrampė. Pusrampės aukštis 110 cm.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SPP-13</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23,00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Piramidės kampas. Elemento aukštis 65 cm.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SPP-14</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28,00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Pusrampė su piramidės kampu. Pusrampės aukštis 110 cm.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SPP-15</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35,00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1173"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Du balansiniai padai su 70 cm šuolių tarpu ir vientisu čiuožimo turėklu. Turėklo bendras ilgis 7 m. Balansinių padų aukštis 15 cm. Kiekvieno pado ilgis 3 m, plotis 1,70 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SPP-16</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Čiuožimo bortas. Borto aukštis 45 cm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SPP-17</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6,65</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Daugiafunkcė gatvės stiliaus rampa. Rampa susideda iš dviejų laiptų, užvažiavimo ir nuvažiavimo rampų, „Pole jam“, žemėjančių čiuožimo turėklų ir vienu „Kick“ turėklu.</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SPP-18</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46,75</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Čiuožimo turėklas. Turėklo ilgis 4,0 m, aukštis 40 cm.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SPP-19</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Čiuožimo turėklas. Turėklas ilgis 4,0 m, aukštis 40 cm. Vamzdžio diametras 15 cm.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SPP-20</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Čiuožimo bortas. Borto aukštis 40 cm.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SPP-21</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4,30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3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8.3.20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Daugiafunkcė rampa. Rampa su „euro gap“ balansiniu – čiuožimo bortu ir čiuožimo turėklu.</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SPP-22</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16,50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8.3.21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w:t>
            </w:r>
            <w:r>
              <w:rPr>
                <w:rFonts w:cs="Arial" w:ascii="Arial" w:hAnsi="Arial"/>
                <w:b w:val="false"/>
                <w:bCs w:val="false"/>
                <w:color w:val="auto"/>
                <w:sz w:val="20"/>
                <w:szCs w:val="20"/>
              </w:rPr>
              <w:t>Bank“ čiuožimo rampa</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SPP-23</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16,30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8.3.22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w:t>
            </w:r>
            <w:r>
              <w:rPr>
                <w:rFonts w:cs="Arial" w:ascii="Arial" w:hAnsi="Arial"/>
                <w:b w:val="false"/>
                <w:bCs w:val="false"/>
                <w:color w:val="auto"/>
                <w:sz w:val="20"/>
                <w:szCs w:val="20"/>
              </w:rPr>
              <w:t>China bank“ čiuožimo bortas. Borto aukštis 55 cm.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SPP-24</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10,30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8.3.23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Šuolių rampa. Rampos aukštis 35 cm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SPP-25</w:t>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19,20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9.</w:t>
            </w:r>
          </w:p>
        </w:tc>
        <w:tc>
          <w:tcPr>
            <w:tcW w:w="8153" w:type="dxa"/>
            <w:gridSpan w:val="4"/>
            <w:tcBorders>
              <w:bottom w:val="single" w:sz="4" w:space="0" w:color="000000"/>
              <w:right w:val="single" w:sz="4" w:space="0" w:color="000000"/>
            </w:tcBorders>
            <w:shd w:fill="ABABAB" w:val="clear"/>
            <w:vAlign w:val="center"/>
          </w:tcPr>
          <w:p>
            <w:pPr>
              <w:pStyle w:val="Normal"/>
              <w:widowControl w:val="false"/>
              <w:spacing w:lineRule="auto" w:line="240" w:before="0" w:after="0"/>
              <w:jc w:val="left"/>
              <w:rPr>
                <w:color w:val="auto"/>
              </w:rPr>
            </w:pPr>
            <w:r>
              <w:rPr>
                <w:rFonts w:ascii="Arial" w:hAnsi="Arial"/>
                <w:b/>
                <w:bCs/>
                <w:color w:val="auto"/>
                <w:sz w:val="20"/>
                <w:szCs w:val="20"/>
              </w:rPr>
              <w:t>Lauko WC</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lang w:eastAsia="lt-LT"/>
              </w:rPr>
              <w:t>4.9.</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9.1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Modulinis lauko WC</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cs="Arial"/>
                <w:color w:val="auto"/>
                <w:sz w:val="20"/>
                <w:szCs w:val="20"/>
              </w:rPr>
            </w:pPr>
            <w:r>
              <w:rPr>
                <w:rFonts w:cs="Arial" w:ascii="Arial" w:hAnsi="Arial"/>
                <w:color w:val="auto"/>
                <w:sz w:val="20"/>
                <w:szCs w:val="20"/>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4.9.</w:t>
            </w:r>
          </w:p>
        </w:tc>
      </w:tr>
      <w:tr>
        <w:trPr>
          <w:trHeight w:val="294"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10.</w:t>
            </w:r>
          </w:p>
        </w:tc>
        <w:tc>
          <w:tcPr>
            <w:tcW w:w="8153" w:type="dxa"/>
            <w:gridSpan w:val="4"/>
            <w:tcBorders>
              <w:bottom w:val="single" w:sz="4" w:space="0" w:color="000000"/>
              <w:right w:val="single" w:sz="4" w:space="0" w:color="000000"/>
            </w:tcBorders>
            <w:shd w:fill="ABABAB" w:val="clear"/>
            <w:vAlign w:val="center"/>
          </w:tcPr>
          <w:p>
            <w:pPr>
              <w:pStyle w:val="Normal"/>
              <w:widowControl w:val="false"/>
              <w:spacing w:lineRule="auto" w:line="240" w:before="0" w:after="0"/>
              <w:jc w:val="left"/>
              <w:rPr>
                <w:color w:val="auto"/>
              </w:rPr>
            </w:pPr>
            <w:r>
              <w:rPr>
                <w:rFonts w:ascii="Arial" w:hAnsi="Arial"/>
                <w:b/>
                <w:bCs/>
                <w:color w:val="auto"/>
                <w:sz w:val="20"/>
                <w:szCs w:val="20"/>
              </w:rPr>
              <w:t>Eismo organizavimas</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lang w:eastAsia="lt-LT"/>
              </w:rPr>
              <w:t>6.</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Kelio ženklų metalinių atramų įrengimas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17,0</w:t>
            </w:r>
          </w:p>
        </w:tc>
        <w:tc>
          <w:tcPr>
            <w:tcW w:w="1470"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6.</w:t>
            </w:r>
          </w:p>
          <w:p>
            <w:pPr>
              <w:pStyle w:val="Normal"/>
              <w:widowControl w:val="false"/>
              <w:spacing w:lineRule="auto" w:line="240" w:before="0" w:after="0"/>
              <w:jc w:val="center"/>
              <w:rPr>
                <w:color w:val="auto"/>
              </w:rPr>
            </w:pPr>
            <w:r>
              <w:rPr>
                <w:rFonts w:eastAsia="Calibri" w:cs="Arial" w:ascii="Arial" w:hAnsi="Arial"/>
                <w:color w:val="auto"/>
                <w:kern w:val="2"/>
                <w:sz w:val="16"/>
                <w:szCs w:val="16"/>
                <w:lang w:eastAsia="en-US" w:bidi="ar-SA"/>
              </w:rPr>
              <w:t>Kai kurių atramų galima atsisakyti, gavus Klaipėdos gatvių apšvietimo sutikimo montuoti skydus ant apšvietimo atramų</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Kelio ženklų skydų įrengimas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33,0</w:t>
            </w:r>
          </w:p>
        </w:tc>
        <w:tc>
          <w:tcPr>
            <w:tcW w:w="1470"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w:t>
            </w:r>
          </w:p>
          <w:p>
            <w:pPr>
              <w:pStyle w:val="Normal"/>
              <w:widowControl w:val="false"/>
              <w:spacing w:lineRule="auto" w:line="240" w:before="0" w:after="0"/>
              <w:jc w:val="center"/>
              <w:rPr>
                <w:color w:val="auto"/>
              </w:rPr>
            </w:pPr>
            <w:r>
              <w:rPr>
                <w:rFonts w:eastAsia="Calibri" w:cs="Arial" w:ascii="Arial" w:hAnsi="Arial"/>
                <w:color w:val="auto"/>
                <w:kern w:val="2"/>
                <w:sz w:val="16"/>
                <w:szCs w:val="16"/>
                <w:lang w:eastAsia="en-US" w:bidi="ar-SA"/>
              </w:rPr>
              <w:t>0 grupės kelio ženklai</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Ženklinimo tipas 1.1 (linijos plotis 0,12 m) siaura ištisinė linija</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21,0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6.</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Ženklinimo tipas 1.5 (linijos plotis 0,12 m) siaura brūkšninė linija, kai brūkšnio ir tarpo santykis 1 m / 3 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502,0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6.</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Ženklinimo tipas 1.5 (linijos plotis 0,12 m) siaura brūkšninė linija, kai brūkšnio ir tarpo santykis 2 m / 6 m</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197,0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6.</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Ženklinimo tipas 1.12 iš trikampių sudaryta linija</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vnt./m</w:t>
            </w:r>
            <w:r>
              <w:rPr>
                <w:rFonts w:eastAsia="Calibri" w:cs="Arial" w:ascii="Arial" w:hAnsi="Arial"/>
                <w:color w:val="auto"/>
                <w:kern w:val="2"/>
                <w:sz w:val="20"/>
                <w:szCs w:val="20"/>
                <w:vertAlign w:val="superscript"/>
                <w:lang w:eastAsia="en-US" w:bidi="ar-SA"/>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15/2,6</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6.</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Ženklinimo tipas 1.23 Dviračio simbolis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vnt./m</w:t>
            </w:r>
            <w:r>
              <w:rPr>
                <w:rFonts w:eastAsia="Calibri" w:cs="Arial" w:ascii="Arial" w:hAnsi="Arial"/>
                <w:color w:val="auto"/>
                <w:kern w:val="2"/>
                <w:sz w:val="20"/>
                <w:szCs w:val="20"/>
                <w:vertAlign w:val="superscript"/>
                <w:lang w:eastAsia="en-US" w:bidi="ar-SA"/>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22/7,5</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6.</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Ženklinimo tipas 1.24 Asmens su negalia simbolis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vnt./m</w:t>
            </w:r>
            <w:r>
              <w:rPr>
                <w:rFonts w:eastAsia="Calibri" w:cs="Arial" w:ascii="Arial" w:hAnsi="Arial"/>
                <w:color w:val="auto"/>
                <w:kern w:val="2"/>
                <w:sz w:val="20"/>
                <w:szCs w:val="20"/>
                <w:vertAlign w:val="superscript"/>
                <w:lang w:eastAsia="en-US" w:bidi="ar-SA"/>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2/2,8</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6.</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Ženklinimo tipas 1.30 Elektromobilio simbolis</w:t>
            </w:r>
          </w:p>
        </w:tc>
        <w:tc>
          <w:tcPr>
            <w:tcW w:w="10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vnt./m</w:t>
            </w:r>
            <w:r>
              <w:rPr>
                <w:rFonts w:eastAsia="Calibri" w:cs="Arial" w:ascii="Arial" w:hAnsi="Arial"/>
                <w:color w:val="auto"/>
                <w:kern w:val="2"/>
                <w:sz w:val="20"/>
                <w:szCs w:val="20"/>
                <w:vertAlign w:val="superscript"/>
                <w:lang w:eastAsia="en-US" w:bidi="ar-SA"/>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6/3,2</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6.</w:t>
            </w:r>
          </w:p>
        </w:tc>
      </w:tr>
    </w:tbl>
    <w:p>
      <w:pPr>
        <w:pStyle w:val="Normal"/>
        <w:spacing w:before="0" w:after="200"/>
        <w:rPr>
          <w:rFonts w:ascii="Arial" w:hAnsi="Arial" w:cs="Arial"/>
          <w:sz w:val="20"/>
          <w:szCs w:val="20"/>
        </w:rPr>
      </w:pPr>
      <w:r>
        <w:rPr>
          <w:rFonts w:cs="Arial" w:ascii="Arial" w:hAnsi="Arial"/>
          <w:sz w:val="20"/>
          <w:szCs w:val="20"/>
        </w:rPr>
      </w:r>
    </w:p>
    <w:p>
      <w:pPr>
        <w:pStyle w:val="Normal"/>
        <w:rPr>
          <w:rFonts w:ascii="Arial" w:hAnsi="Arial"/>
          <w:b/>
          <w:bCs/>
          <w:sz w:val="20"/>
          <w:szCs w:val="20"/>
        </w:rPr>
      </w:pPr>
      <w:r>
        <w:rPr>
          <w:rFonts w:ascii="Arial" w:hAnsi="Arial"/>
          <w:b/>
          <w:bCs/>
          <w:sz w:val="20"/>
          <w:szCs w:val="20"/>
        </w:rPr>
        <w:t>PASTABOS:</w:t>
      </w:r>
    </w:p>
    <w:p>
      <w:pPr>
        <w:pStyle w:val="Normal"/>
        <w:widowControl/>
        <w:suppressAutoHyphens w:val="true"/>
        <w:bidi w:val="0"/>
        <w:spacing w:before="0" w:after="0"/>
        <w:ind w:firstLine="567" w:left="0" w:right="0"/>
        <w:jc w:val="both"/>
        <w:rPr>
          <w:rFonts w:ascii="Arial" w:hAnsi="Arial"/>
          <w:sz w:val="20"/>
          <w:szCs w:val="20"/>
        </w:rPr>
      </w:pPr>
      <w:r>
        <w:rPr>
          <w:rFonts w:ascii="Arial" w:hAnsi="Arial"/>
          <w:sz w:val="20"/>
          <w:szCs w:val="20"/>
        </w:rPr>
        <w:t>1. Sąnaudų žiniaraštį žiūrėti kartu su brėžiniais.</w:t>
      </w:r>
    </w:p>
    <w:p>
      <w:pPr>
        <w:pStyle w:val="Normal"/>
        <w:widowControl/>
        <w:suppressAutoHyphens w:val="true"/>
        <w:bidi w:val="0"/>
        <w:spacing w:before="0" w:after="0"/>
        <w:ind w:firstLine="567" w:left="0" w:right="0"/>
        <w:jc w:val="both"/>
        <w:rPr>
          <w:rFonts w:ascii="Arial" w:hAnsi="Arial"/>
          <w:sz w:val="20"/>
          <w:szCs w:val="20"/>
        </w:rPr>
      </w:pPr>
      <w:r>
        <w:rPr>
          <w:rFonts w:ascii="Arial" w:hAnsi="Arial"/>
          <w:sz w:val="20"/>
          <w:szCs w:val="20"/>
        </w:rPr>
        <w:t>2. Pateikti darbų kiekių žiniaraščiai skirti pakankamai tiksliai įvertinti numatomas statybos darbų sąnaudas, tačiau vykdant statybos darbus, kai kurios darbų kiekių žiniaraščių pozicijų vertės gali būti patikslintos ar atsirasti naujų, jei tai yra reikalinga įgyvendinant projekto techninėse specifikacijose, aiškinamuosiuose raštuose ar brėžiniuose numatytus sprendinius vadovaujantis STR1.04.04:2017 „Statinio projektavimas, projekto ekspertizė“ V sk. 37 p.</w:t>
      </w:r>
    </w:p>
    <w:p>
      <w:pPr>
        <w:pStyle w:val="Normal"/>
        <w:widowControl/>
        <w:suppressAutoHyphens w:val="true"/>
        <w:bidi w:val="0"/>
        <w:spacing w:before="0" w:after="0"/>
        <w:ind w:firstLine="567" w:left="0" w:right="0"/>
        <w:jc w:val="both"/>
        <w:rPr>
          <w:rFonts w:ascii="Arial" w:hAnsi="Arial"/>
          <w:sz w:val="20"/>
          <w:szCs w:val="20"/>
        </w:rPr>
      </w:pPr>
      <w:r>
        <w:rPr>
          <w:rFonts w:ascii="Arial" w:hAnsi="Arial"/>
          <w:sz w:val="20"/>
          <w:szCs w:val="20"/>
        </w:rPr>
        <w:t>3. Vykdant statybos darbus realioje aplinkoje Rangovas gali susidurti su neesminiais sprendinių ir/ar kiekių neatitikimais. Pastebėjęs neatitikimus Rangovas privalo nedelsiant kreiptis į techninės priežiūros vadovą (Inžinierių) išsamiai išaiškinant situaciją. Inžinieriaus pavedimu Projektuotojas įvertina gautą informaciją ir motyvuotai atsako Inžinieriui ar Rangovo pastebėti neatitikimai yra galimi.</w:t>
      </w:r>
    </w:p>
    <w:p>
      <w:pPr>
        <w:pStyle w:val="Normal"/>
        <w:widowControl/>
        <w:suppressAutoHyphens w:val="true"/>
        <w:bidi w:val="0"/>
        <w:spacing w:before="0" w:after="0"/>
        <w:ind w:firstLine="567" w:left="0" w:right="0"/>
        <w:jc w:val="both"/>
        <w:rPr>
          <w:rFonts w:ascii="Arial" w:hAnsi="Arial"/>
          <w:sz w:val="20"/>
          <w:szCs w:val="20"/>
        </w:rPr>
      </w:pPr>
      <w:r>
        <w:rPr>
          <w:rFonts w:ascii="Arial" w:hAnsi="Arial"/>
          <w:sz w:val="20"/>
          <w:szCs w:val="20"/>
        </w:rPr>
        <w:t>4. Rangovas turi įvertinti visus darbus, įrenginius ir medžiagas reikalingas projektui įgyvendinti ir išlaikyti ne prastesnes, nei techninėse specifikacijose numatytus reikalavimus. Nurodyti darbai turi būti įvertinti kompleksiškai, kartu su visais palydinčiais darbais.</w:t>
      </w:r>
    </w:p>
    <w:p>
      <w:pPr>
        <w:pStyle w:val="Normal"/>
        <w:widowControl/>
        <w:suppressAutoHyphens w:val="true"/>
        <w:bidi w:val="0"/>
        <w:spacing w:before="0" w:after="0"/>
        <w:ind w:firstLine="567" w:left="0" w:right="0"/>
        <w:jc w:val="both"/>
        <w:rPr>
          <w:rFonts w:ascii="Arial" w:hAnsi="Arial"/>
          <w:sz w:val="20"/>
          <w:szCs w:val="20"/>
        </w:rPr>
      </w:pPr>
      <w:r>
        <w:rPr>
          <w:rFonts w:ascii="Arial" w:hAnsi="Arial"/>
          <w:sz w:val="20"/>
          <w:szCs w:val="20"/>
        </w:rPr>
        <w:t>5. Statybos metu susidariusios nereikalingos medžiagos (įranga, gruntas, dirvožemis, asfaltas, betonas ir bet kokie kiti elementai) yra Statytojo nuosavybė ir turi būti perduotos jo žinion arba gali būti utilizuotos tik tokiu atveju, jei Statytojas atsisako jas pasilikti.</w:t>
      </w:r>
    </w:p>
    <w:p>
      <w:pPr>
        <w:pStyle w:val="Normal"/>
        <w:suppressAutoHyphens w:val="true"/>
        <w:spacing w:before="0" w:after="0"/>
        <w:ind w:firstLine="567" w:left="0" w:right="0"/>
        <w:jc w:val="both"/>
        <w:rPr>
          <w:rFonts w:ascii="Arial" w:hAnsi="Arial"/>
          <w:sz w:val="20"/>
          <w:szCs w:val="20"/>
        </w:rPr>
      </w:pPr>
      <w:r>
        <w:rPr>
          <w:rFonts w:ascii="Arial" w:hAnsi="Arial"/>
          <w:sz w:val="20"/>
          <w:szCs w:val="20"/>
        </w:rPr>
        <w:t>6. Augalų šaknų sutartiniai žymėjimai: SG - su šaknų gumulu, BG - be šaknų gumulo, Cx - konteineris, kur x žymi tūrį litrais.</w:t>
      </w:r>
    </w:p>
    <w:sectPr>
      <w:headerReference w:type="even" r:id="rId5"/>
      <w:headerReference w:type="default" r:id="rId6"/>
      <w:headerReference w:type="first" r:id="rId7"/>
      <w:footerReference w:type="even" r:id="rId8"/>
      <w:footerReference w:type="default" r:id="rId9"/>
      <w:footerReference w:type="first" r:id="rId10"/>
      <w:type w:val="nextPage"/>
      <w:pgSz w:w="11906" w:h="16838"/>
      <w:pgMar w:left="1134" w:right="567" w:gutter="0" w:header="567" w:top="1560" w:footer="0"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Calibri">
    <w:charset w:val="ba"/>
    <w:family w:val="roman"/>
    <w:pitch w:val="variable"/>
  </w:font>
  <w:font w:name="Times New Roman">
    <w:charset w:val="ba"/>
    <w:family w:val="roman"/>
    <w:pitch w:val="variable"/>
  </w:font>
  <w:font w:name="Cambria">
    <w:charset w:val="ba"/>
    <w:family w:val="roman"/>
    <w:pitch w:val="variable"/>
  </w:font>
  <w:font w:name="Arial">
    <w:charset w:val="ba"/>
    <w:family w:val="swiss"/>
    <w:pitch w:val="variable"/>
  </w:font>
  <w:font w:name="Tahoma">
    <w:charset w:val="ba"/>
    <w:family w:val="roman"/>
    <w:pitch w:val="variable"/>
  </w:font>
  <w:font w:name="ArialMT">
    <w:charset w:val="ba"/>
    <w:family w:val="roman"/>
    <w:pitch w:val="variable"/>
  </w:font>
  <w:font w:name="Liberation Sans">
    <w:altName w:val="Arial"/>
    <w:charset w:val="ba"/>
    <w:family w:val="swiss"/>
    <w:pitch w:val="variable"/>
  </w:font>
  <w:font w:name="Arial">
    <w:altName w:val="sans-serif"/>
    <w:charset w:val="ba"/>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20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101" w:type="dxa"/>
      <w:jc w:val="right"/>
      <w:tblInd w:w="0" w:type="dxa"/>
      <w:tblLayout w:type="fixed"/>
      <w:tblCellMar>
        <w:top w:w="0" w:type="dxa"/>
        <w:left w:w="108" w:type="dxa"/>
        <w:bottom w:w="0" w:type="dxa"/>
        <w:right w:w="108" w:type="dxa"/>
      </w:tblCellMar>
    </w:tblPr>
    <w:tblGrid>
      <w:gridCol w:w="2848"/>
      <w:gridCol w:w="792"/>
      <w:gridCol w:w="734"/>
      <w:gridCol w:w="727"/>
    </w:tblGrid>
    <w:tr>
      <w:trPr>
        <w:trHeight w:val="283" w:hRule="atLeast"/>
      </w:trPr>
      <w:tc>
        <w:tcPr>
          <w:tcW w:w="2848" w:type="dxa"/>
          <w:vMerge w:val="restart"/>
          <w:tcBorders>
            <w:top w:val="single" w:sz="12" w:space="0" w:color="000000"/>
            <w:left w:val="single" w:sz="12" w:space="0" w:color="000000"/>
            <w:bottom w:val="single" w:sz="12" w:space="0" w:color="000000"/>
            <w:right w:val="single" w:sz="4" w:space="0" w:color="000000"/>
          </w:tcBorders>
        </w:tcPr>
        <w:p>
          <w:pPr>
            <w:pStyle w:val="Tvarkingas"/>
            <w:widowControl w:val="false"/>
            <w:spacing w:lineRule="auto" w:line="240" w:before="60" w:after="60"/>
            <w:ind w:hanging="0"/>
            <w:jc w:val="left"/>
            <w:rPr>
              <w:rFonts w:ascii="Arial" w:hAnsi="Arial" w:cs="Arial"/>
              <w:caps/>
              <w:sz w:val="16"/>
              <w:szCs w:val="16"/>
            </w:rPr>
          </w:pPr>
          <w:r>
            <w:rPr>
              <w:rFonts w:cs="Arial" w:ascii="Arial" w:hAnsi="Arial"/>
              <w:caps/>
              <w:sz w:val="16"/>
              <w:szCs w:val="16"/>
            </w:rPr>
            <w:t>Dokumento žymuo</w:t>
          </w:r>
        </w:p>
        <w:p>
          <w:pPr>
            <w:pStyle w:val="Tvarkingas"/>
            <w:widowControl w:val="false"/>
            <w:spacing w:lineRule="auto" w:line="240" w:before="60" w:after="60"/>
            <w:ind w:hanging="0"/>
            <w:jc w:val="left"/>
            <w:rPr>
              <w:shd w:fill="auto" w:val="clear"/>
            </w:rPr>
          </w:pPr>
          <w:r>
            <w:rPr>
              <w:rFonts w:cs="Arial" w:ascii="Arial" w:hAnsi="Arial"/>
              <w:sz w:val="16"/>
              <w:szCs w:val="16"/>
              <w:shd w:fill="auto" w:val="clear"/>
            </w:rPr>
            <w:t>P22-037-KRTP-SP.SKŽ</w:t>
          </w:r>
        </w:p>
      </w:tc>
      <w:tc>
        <w:tcPr>
          <w:tcW w:w="792" w:type="dxa"/>
          <w:tcBorders>
            <w:top w:val="single" w:sz="12" w:space="0" w:color="000000"/>
            <w:left w:val="single" w:sz="4" w:space="0" w:color="000000"/>
            <w:bottom w:val="single" w:sz="4" w:space="0" w:color="000000"/>
            <w:right w:val="single" w:sz="4" w:space="0" w:color="000000"/>
          </w:tcBorders>
          <w:vAlign w:val="center"/>
        </w:tcPr>
        <w:p>
          <w:pPr>
            <w:pStyle w:val="Tvarkingas"/>
            <w:widowControl w:val="false"/>
            <w:spacing w:lineRule="auto" w:line="240" w:before="60" w:after="60"/>
            <w:ind w:hanging="0"/>
            <w:jc w:val="center"/>
            <w:rPr>
              <w:rFonts w:ascii="Arial" w:hAnsi="Arial" w:cs="Arial"/>
              <w:caps/>
              <w:sz w:val="16"/>
              <w:szCs w:val="16"/>
            </w:rPr>
          </w:pPr>
          <w:r>
            <w:rPr>
              <w:rFonts w:cs="Arial" w:ascii="Arial" w:hAnsi="Arial"/>
              <w:caps/>
              <w:sz w:val="16"/>
              <w:szCs w:val="16"/>
            </w:rPr>
            <w:t>Lapas</w:t>
          </w:r>
        </w:p>
      </w:tc>
      <w:tc>
        <w:tcPr>
          <w:tcW w:w="734" w:type="dxa"/>
          <w:tcBorders>
            <w:top w:val="single" w:sz="12" w:space="0" w:color="000000"/>
            <w:left w:val="single" w:sz="4" w:space="0" w:color="000000"/>
            <w:bottom w:val="single" w:sz="4" w:space="0" w:color="000000"/>
            <w:right w:val="single" w:sz="4" w:space="0" w:color="000000"/>
          </w:tcBorders>
          <w:vAlign w:val="center"/>
        </w:tcPr>
        <w:p>
          <w:pPr>
            <w:pStyle w:val="Tvarkingas"/>
            <w:widowControl w:val="false"/>
            <w:spacing w:lineRule="auto" w:line="240" w:before="60" w:after="60"/>
            <w:ind w:hanging="0"/>
            <w:jc w:val="center"/>
            <w:rPr>
              <w:rFonts w:ascii="Arial" w:hAnsi="Arial" w:cs="Arial"/>
              <w:caps/>
              <w:sz w:val="16"/>
              <w:szCs w:val="16"/>
            </w:rPr>
          </w:pPr>
          <w:r>
            <w:rPr>
              <w:rFonts w:cs="Arial" w:ascii="Arial" w:hAnsi="Arial"/>
              <w:caps/>
              <w:sz w:val="16"/>
              <w:szCs w:val="16"/>
            </w:rPr>
            <w:t>Lapų</w:t>
          </w:r>
        </w:p>
      </w:tc>
      <w:tc>
        <w:tcPr>
          <w:tcW w:w="727" w:type="dxa"/>
          <w:tcBorders>
            <w:top w:val="single" w:sz="12" w:space="0" w:color="000000"/>
            <w:left w:val="single" w:sz="4" w:space="0" w:color="000000"/>
            <w:bottom w:val="single" w:sz="4" w:space="0" w:color="000000"/>
            <w:right w:val="single" w:sz="12" w:space="0" w:color="000000"/>
          </w:tcBorders>
          <w:vAlign w:val="center"/>
        </w:tcPr>
        <w:p>
          <w:pPr>
            <w:pStyle w:val="Tvarkingas"/>
            <w:widowControl w:val="false"/>
            <w:spacing w:lineRule="auto" w:line="240" w:before="60" w:after="60"/>
            <w:ind w:hanging="0"/>
            <w:jc w:val="center"/>
            <w:rPr>
              <w:rFonts w:ascii="Arial" w:hAnsi="Arial" w:cs="Arial"/>
              <w:caps/>
              <w:sz w:val="16"/>
              <w:szCs w:val="16"/>
            </w:rPr>
          </w:pPr>
          <w:r>
            <w:rPr>
              <w:rFonts w:cs="Arial" w:ascii="Arial" w:hAnsi="Arial"/>
              <w:caps/>
              <w:sz w:val="16"/>
              <w:szCs w:val="16"/>
            </w:rPr>
            <w:t>Laida</w:t>
          </w:r>
        </w:p>
      </w:tc>
    </w:tr>
    <w:tr>
      <w:trPr>
        <w:trHeight w:val="288" w:hRule="atLeast"/>
      </w:trPr>
      <w:tc>
        <w:tcPr>
          <w:tcW w:w="2848" w:type="dxa"/>
          <w:vMerge w:val="continue"/>
          <w:tcBorders>
            <w:top w:val="single" w:sz="4" w:space="0" w:color="000000"/>
            <w:left w:val="single" w:sz="12" w:space="0" w:color="000000"/>
            <w:bottom w:val="single" w:sz="12" w:space="0" w:color="000000"/>
            <w:right w:val="single" w:sz="4" w:space="0" w:color="000000"/>
          </w:tcBorders>
        </w:tcPr>
        <w:p>
          <w:pPr>
            <w:pStyle w:val="Normal"/>
            <w:widowControl w:val="false"/>
            <w:suppressAutoHyphens w:val="true"/>
            <w:bidi w:val="0"/>
            <w:spacing w:lineRule="auto" w:line="276" w:before="0" w:after="200"/>
            <w:jc w:val="left"/>
            <w:rPr/>
          </w:pPr>
          <w:r>
            <w:rPr/>
          </w:r>
        </w:p>
      </w:tc>
      <w:tc>
        <w:tcPr>
          <w:tcW w:w="792" w:type="dxa"/>
          <w:tcBorders>
            <w:top w:val="single" w:sz="4" w:space="0" w:color="000000"/>
            <w:left w:val="single" w:sz="4" w:space="0" w:color="000000"/>
            <w:bottom w:val="single" w:sz="12" w:space="0" w:color="000000"/>
            <w:right w:val="single" w:sz="4" w:space="0" w:color="000000"/>
          </w:tcBorders>
          <w:vAlign w:val="center"/>
        </w:tcPr>
        <w:p>
          <w:pPr>
            <w:pStyle w:val="Tvarkingas"/>
            <w:widowControl w:val="false"/>
            <w:spacing w:lineRule="auto" w:line="240" w:before="60" w:after="60"/>
            <w:ind w:hanging="0"/>
            <w:jc w:val="center"/>
            <w:rPr>
              <w:rFonts w:ascii="Arial" w:hAnsi="Arial" w:cs="Arial"/>
              <w:sz w:val="16"/>
              <w:szCs w:val="16"/>
            </w:rPr>
          </w:pPr>
          <w:r>
            <w:rPr>
              <w:rFonts w:cs="Arial" w:ascii="Arial" w:hAnsi="Arial"/>
              <w:sz w:val="16"/>
              <w:szCs w:val="16"/>
            </w:rPr>
            <w:fldChar w:fldCharType="begin"/>
          </w:r>
          <w:r>
            <w:rPr>
              <w:sz w:val="16"/>
              <w:szCs w:val="16"/>
              <w:rFonts w:cs="Arial" w:ascii="Arial" w:hAnsi="Arial"/>
            </w:rPr>
            <w:instrText xml:space="preserve"> PAGE </w:instrText>
          </w:r>
          <w:r>
            <w:rPr>
              <w:sz w:val="16"/>
              <w:szCs w:val="16"/>
              <w:rFonts w:cs="Arial" w:ascii="Arial" w:hAnsi="Arial"/>
            </w:rPr>
            <w:fldChar w:fldCharType="separate"/>
          </w:r>
          <w:r>
            <w:rPr>
              <w:sz w:val="16"/>
              <w:szCs w:val="16"/>
              <w:rFonts w:cs="Arial" w:ascii="Arial" w:hAnsi="Arial"/>
            </w:rPr>
            <w:t>3</w:t>
          </w:r>
          <w:r>
            <w:rPr>
              <w:sz w:val="16"/>
              <w:szCs w:val="16"/>
              <w:rFonts w:cs="Arial" w:ascii="Arial" w:hAnsi="Arial"/>
            </w:rPr>
            <w:fldChar w:fldCharType="end"/>
          </w:r>
        </w:p>
      </w:tc>
      <w:tc>
        <w:tcPr>
          <w:tcW w:w="734" w:type="dxa"/>
          <w:tcBorders>
            <w:top w:val="single" w:sz="4" w:space="0" w:color="000000"/>
            <w:left w:val="single" w:sz="4" w:space="0" w:color="000000"/>
            <w:bottom w:val="single" w:sz="12" w:space="0" w:color="000000"/>
            <w:right w:val="single" w:sz="4" w:space="0" w:color="000000"/>
          </w:tcBorders>
          <w:vAlign w:val="center"/>
        </w:tcPr>
        <w:p>
          <w:pPr>
            <w:pStyle w:val="Tvarkingas"/>
            <w:widowControl w:val="false"/>
            <w:spacing w:lineRule="auto" w:line="240" w:before="60" w:after="60"/>
            <w:ind w:hanging="0"/>
            <w:jc w:val="center"/>
            <w:rPr>
              <w:rFonts w:ascii="Arial" w:hAnsi="Arial" w:cs="Arial"/>
              <w:sz w:val="16"/>
              <w:szCs w:val="16"/>
            </w:rPr>
          </w:pPr>
          <w:r>
            <w:rPr>
              <w:rFonts w:cs="Arial" w:ascii="Arial" w:hAnsi="Arial"/>
              <w:sz w:val="16"/>
              <w:szCs w:val="16"/>
            </w:rPr>
            <w:fldChar w:fldCharType="begin"/>
          </w:r>
          <w:r>
            <w:rPr>
              <w:sz w:val="16"/>
              <w:szCs w:val="16"/>
              <w:rFonts w:cs="Arial" w:ascii="Arial" w:hAnsi="Arial"/>
            </w:rPr>
            <w:instrText xml:space="preserve"> NUMPAGES </w:instrText>
          </w:r>
          <w:r>
            <w:rPr>
              <w:sz w:val="16"/>
              <w:szCs w:val="16"/>
              <w:rFonts w:cs="Arial" w:ascii="Arial" w:hAnsi="Arial"/>
            </w:rPr>
            <w:fldChar w:fldCharType="separate"/>
          </w:r>
          <w:r>
            <w:rPr>
              <w:sz w:val="16"/>
              <w:szCs w:val="16"/>
              <w:rFonts w:cs="Arial" w:ascii="Arial" w:hAnsi="Arial"/>
            </w:rPr>
            <w:t>11</w:t>
          </w:r>
          <w:r>
            <w:rPr>
              <w:sz w:val="16"/>
              <w:szCs w:val="16"/>
              <w:rFonts w:cs="Arial" w:ascii="Arial" w:hAnsi="Arial"/>
            </w:rPr>
            <w:fldChar w:fldCharType="end"/>
          </w:r>
        </w:p>
      </w:tc>
      <w:tc>
        <w:tcPr>
          <w:tcW w:w="727" w:type="dxa"/>
          <w:tcBorders>
            <w:top w:val="single" w:sz="4" w:space="0" w:color="000000"/>
            <w:left w:val="single" w:sz="4" w:space="0" w:color="000000"/>
            <w:bottom w:val="single" w:sz="12" w:space="0" w:color="000000"/>
            <w:right w:val="single" w:sz="12" w:space="0" w:color="000000"/>
          </w:tcBorders>
          <w:vAlign w:val="center"/>
        </w:tcPr>
        <w:p>
          <w:pPr>
            <w:pStyle w:val="Tvarkingas"/>
            <w:widowControl w:val="false"/>
            <w:spacing w:lineRule="auto" w:line="240" w:before="60" w:after="60"/>
            <w:ind w:hanging="0"/>
            <w:jc w:val="center"/>
            <w:rPr>
              <w:rFonts w:ascii="Arial" w:hAnsi="Arial" w:cs="Arial"/>
              <w:sz w:val="16"/>
              <w:szCs w:val="16"/>
            </w:rPr>
          </w:pPr>
          <w:r>
            <w:rPr>
              <w:rFonts w:cs="Arial" w:ascii="Arial" w:hAnsi="Arial"/>
              <w:sz w:val="16"/>
              <w:szCs w:val="16"/>
            </w:rPr>
            <w:t>0</w:t>
          </w:r>
        </w:p>
      </w:tc>
    </w:tr>
  </w:tbl>
  <w:p>
    <w:pPr>
      <w:pStyle w:val="Footer"/>
      <w:spacing w:before="0" w:after="20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0" w:type="dxa"/>
      <w:jc w:val="left"/>
      <w:tblInd w:w="0" w:type="dxa"/>
      <w:tblLayout w:type="fixed"/>
      <w:tblCellMar>
        <w:top w:w="0" w:type="dxa"/>
        <w:left w:w="108" w:type="dxa"/>
        <w:bottom w:w="0" w:type="dxa"/>
        <w:right w:w="108" w:type="dxa"/>
      </w:tblCellMar>
    </w:tblPr>
    <w:tblGrid>
      <w:gridCol w:w="790"/>
      <w:gridCol w:w="1076"/>
      <w:gridCol w:w="2230"/>
      <w:gridCol w:w="946"/>
      <w:gridCol w:w="3615"/>
      <w:gridCol w:w="768"/>
      <w:gridCol w:w="775"/>
    </w:tblGrid>
    <w:tr>
      <w:trPr>
        <w:trHeight w:val="288" w:hRule="atLeast"/>
      </w:trPr>
      <w:tc>
        <w:tcPr>
          <w:tcW w:w="790" w:type="dxa"/>
          <w:tcBorders>
            <w:top w:val="single" w:sz="12" w:space="0" w:color="000000"/>
            <w:left w:val="single" w:sz="12" w:space="0" w:color="000000"/>
            <w:bottom w:val="single" w:sz="8" w:space="0" w:color="000000"/>
            <w:right w:val="single" w:sz="8"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ab/>
            <w:t>0</w:t>
          </w:r>
        </w:p>
      </w:tc>
      <w:tc>
        <w:tcPr>
          <w:tcW w:w="4252" w:type="dxa"/>
          <w:gridSpan w:val="3"/>
          <w:tcBorders>
            <w:top w:val="single" w:sz="12" w:space="0" w:color="000000"/>
            <w:left w:val="single" w:sz="8" w:space="0" w:color="000000"/>
            <w:bottom w:val="single" w:sz="8" w:space="0" w:color="000000"/>
            <w:right w:val="single" w:sz="12"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2024-07</w:t>
          </w:r>
        </w:p>
      </w:tc>
      <w:tc>
        <w:tcPr>
          <w:tcW w:w="5158" w:type="dxa"/>
          <w:gridSpan w:val="3"/>
          <w:tcBorders>
            <w:top w:val="single" w:sz="12" w:space="0" w:color="000000"/>
            <w:left w:val="single" w:sz="12" w:space="0" w:color="000000"/>
            <w:bottom w:val="single" w:sz="8" w:space="0" w:color="000000"/>
            <w:right w:val="single" w:sz="12"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Statybą leidžiančiam dokumentui, konkursui</w:t>
          </w:r>
        </w:p>
      </w:tc>
    </w:tr>
    <w:tr>
      <w:trPr>
        <w:trHeight w:val="80" w:hRule="atLeast"/>
      </w:trPr>
      <w:tc>
        <w:tcPr>
          <w:tcW w:w="790" w:type="dxa"/>
          <w:tcBorders>
            <w:top w:val="single" w:sz="8" w:space="0" w:color="000000"/>
            <w:left w:val="single" w:sz="12" w:space="0" w:color="000000"/>
            <w:bottom w:val="single" w:sz="12" w:space="0" w:color="000000"/>
            <w:right w:val="single" w:sz="8"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LAIDA</w:t>
          </w:r>
        </w:p>
      </w:tc>
      <w:tc>
        <w:tcPr>
          <w:tcW w:w="4252" w:type="dxa"/>
          <w:gridSpan w:val="3"/>
          <w:tcBorders>
            <w:top w:val="single" w:sz="8" w:space="0" w:color="000000"/>
            <w:left w:val="single" w:sz="8" w:space="0" w:color="000000"/>
            <w:bottom w:val="single" w:sz="12" w:space="0" w:color="000000"/>
            <w:right w:val="single" w:sz="12"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IŠLEIDIMO DATA</w:t>
          </w:r>
        </w:p>
      </w:tc>
      <w:tc>
        <w:tcPr>
          <w:tcW w:w="5158" w:type="dxa"/>
          <w:gridSpan w:val="3"/>
          <w:tcBorders>
            <w:top w:val="single" w:sz="8" w:space="0" w:color="000000"/>
            <w:left w:val="single" w:sz="12" w:space="0" w:color="000000"/>
            <w:bottom w:val="single" w:sz="12" w:space="0" w:color="000000"/>
            <w:right w:val="single" w:sz="12" w:space="0" w:color="000000"/>
          </w:tcBorders>
          <w:vAlign w:val="center"/>
        </w:tcPr>
        <w:p>
          <w:pPr>
            <w:pStyle w:val="Normal"/>
            <w:widowControl w:val="false"/>
            <w:suppressAutoHyphens w:val="true"/>
            <w:spacing w:lineRule="auto" w:line="240" w:before="0" w:after="0"/>
            <w:jc w:val="left"/>
            <w:rPr>
              <w:lang w:val="lt-LT"/>
            </w:rPr>
          </w:pPr>
          <w:r>
            <w:rPr>
              <w:rFonts w:eastAsia="Calibri" w:cs="Arial" w:ascii="Arial" w:hAnsi="Arial"/>
              <w:kern w:val="0"/>
              <w:sz w:val="16"/>
              <w:szCs w:val="16"/>
              <w:lang w:val="lt-LT" w:eastAsia="en-US" w:bidi="ar-SA"/>
            </w:rPr>
            <w:t>LAIDOS STATUSAS. KEITIMO PRIEŽASTIS (JEI TAIKOMA)</w:t>
          </w:r>
        </w:p>
      </w:tc>
    </w:tr>
    <w:tr>
      <w:trPr>
        <w:trHeight w:val="850" w:hRule="atLeast"/>
      </w:trPr>
      <w:tc>
        <w:tcPr>
          <w:tcW w:w="790" w:type="dxa"/>
          <w:tcBorders>
            <w:top w:val="single" w:sz="12" w:space="0" w:color="000000"/>
            <w:left w:val="single" w:sz="12" w:space="0" w:color="000000"/>
            <w:bottom w:val="single" w:sz="4" w:space="0" w:color="000000"/>
            <w:right w:val="single" w:sz="8" w:space="0" w:color="000000"/>
          </w:tcBorders>
        </w:tcPr>
        <w:p>
          <w:pPr>
            <w:pStyle w:val="Tvarkingas"/>
            <w:widowControl w:val="false"/>
            <w:suppressAutoHyphens w:val="true"/>
            <w:spacing w:lineRule="auto" w:line="240" w:before="60" w:after="60"/>
            <w:ind w:hanging="0"/>
            <w:jc w:val="left"/>
            <w:rPr>
              <w:rFonts w:ascii="Arial" w:hAnsi="Arial" w:cs="Arial"/>
              <w:color w:val="0070C0"/>
              <w:sz w:val="16"/>
              <w:szCs w:val="16"/>
              <w:lang w:val="lt-LT"/>
            </w:rPr>
          </w:pPr>
          <w:r>
            <w:rPr>
              <w:rFonts w:eastAsia="Calibri" w:cs="Arial" w:ascii="Arial" w:hAnsi="Arial"/>
              <w:kern w:val="0"/>
              <w:sz w:val="16"/>
              <w:szCs w:val="16"/>
              <w:lang w:val="lt-LT" w:eastAsia="en-US" w:bidi="ar-SA"/>
            </w:rPr>
            <w:t>KVAL. PATV. DOK. NR.</w:t>
          </w:r>
        </w:p>
      </w:tc>
      <w:tc>
        <w:tcPr>
          <w:tcW w:w="4252" w:type="dxa"/>
          <w:gridSpan w:val="3"/>
          <w:tcBorders>
            <w:top w:val="single" w:sz="12" w:space="0" w:color="000000"/>
            <w:left w:val="single" w:sz="8" w:space="0" w:color="000000"/>
            <w:bottom w:val="single" w:sz="4" w:space="0" w:color="000000"/>
            <w:right w:val="single" w:sz="12" w:space="0" w:color="000000"/>
          </w:tcBorders>
        </w:tcPr>
        <w:p>
          <w:pPr>
            <w:pStyle w:val="Tvarkingas"/>
            <w:widowControl w:val="false"/>
            <w:suppressAutoHyphens w:val="true"/>
            <w:spacing w:lineRule="auto" w:line="240" w:before="60" w:after="60"/>
            <w:ind w:hanging="0"/>
            <w:jc w:val="left"/>
            <w:rPr>
              <w:rFonts w:ascii="Arial" w:hAnsi="Arial" w:cs="Arial"/>
              <w:sz w:val="16"/>
              <w:szCs w:val="16"/>
              <w:lang w:val="lt-LT"/>
            </w:rPr>
          </w:pPr>
          <w:r>
            <w:drawing>
              <wp:anchor behindDoc="1" distT="0" distB="0" distL="0" distR="0" simplePos="0" locked="0" layoutInCell="1" allowOverlap="1" relativeHeight="2">
                <wp:simplePos x="0" y="0"/>
                <wp:positionH relativeFrom="column">
                  <wp:posOffset>1270635</wp:posOffset>
                </wp:positionH>
                <wp:positionV relativeFrom="paragraph">
                  <wp:posOffset>38735</wp:posOffset>
                </wp:positionV>
                <wp:extent cx="1133475" cy="474345"/>
                <wp:effectExtent l="0" t="0" r="0" b="0"/>
                <wp:wrapNone/>
                <wp:docPr id="3" name="Paveikslėlis 1556333934"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1556333934" descr="A black background with white text&#10;&#10;Description automatically generated"/>
                        <pic:cNvPicPr>
                          <a:picLocks noChangeAspect="1" noChangeArrowheads="1"/>
                        </pic:cNvPicPr>
                      </pic:nvPicPr>
                      <pic:blipFill>
                        <a:blip r:embed="rId1"/>
                        <a:stretch>
                          <a:fillRect/>
                        </a:stretch>
                      </pic:blipFill>
                      <pic:spPr bwMode="auto">
                        <a:xfrm>
                          <a:off x="0" y="0"/>
                          <a:ext cx="1133475" cy="474345"/>
                        </a:xfrm>
                        <a:prstGeom prst="rect">
                          <a:avLst/>
                        </a:prstGeom>
                        <a:noFill/>
                      </pic:spPr>
                    </pic:pic>
                  </a:graphicData>
                </a:graphic>
              </wp:anchor>
            </w:drawing>
          </w:r>
          <w:r>
            <w:rPr>
              <w:rFonts w:eastAsia="Calibri" w:cs="Arial" w:ascii="Arial" w:hAnsi="Arial"/>
              <w:kern w:val="0"/>
              <w:sz w:val="16"/>
              <w:szCs w:val="16"/>
              <w:lang w:val="lt-LT" w:eastAsia="en-US" w:bidi="ar-SA"/>
            </w:rPr>
            <w:t>PROJEKTUOTOJAS</w:t>
          </w:r>
        </w:p>
        <w:p>
          <w:pPr>
            <w:pStyle w:val="Tvarkingas"/>
            <w:widowControl w:val="false"/>
            <w:suppressAutoHyphens w:val="true"/>
            <w:spacing w:lineRule="auto" w:line="240" w:before="60" w:after="60"/>
            <w:ind w:hanging="0"/>
            <w:jc w:val="left"/>
            <w:rPr>
              <w:rFonts w:ascii="Arial" w:hAnsi="Arial" w:cs="Arial"/>
              <w:color w:val="0070C0"/>
              <w:sz w:val="16"/>
              <w:szCs w:val="16"/>
              <w:lang w:val="lt-LT"/>
            </w:rPr>
          </w:pPr>
          <w:r>
            <w:rPr>
              <w:rFonts w:eastAsia="Calibri" w:cs="Arial" w:ascii="Arial" w:hAnsi="Arial"/>
              <w:kern w:val="0"/>
              <w:sz w:val="16"/>
              <w:szCs w:val="16"/>
              <w:lang w:val="lt-LT" w:eastAsia="en-US" w:bidi="ar-SA"/>
            </w:rPr>
            <w:t>UAB „SRP Projektas“</w:t>
          </w:r>
        </w:p>
      </w:tc>
      <w:tc>
        <w:tcPr>
          <w:tcW w:w="5158" w:type="dxa"/>
          <w:gridSpan w:val="3"/>
          <w:vMerge w:val="restart"/>
          <w:tcBorders>
            <w:top w:val="single" w:sz="12" w:space="0" w:color="000000"/>
            <w:left w:val="single" w:sz="12" w:space="0" w:color="000000"/>
            <w:bottom w:val="single" w:sz="8" w:space="0" w:color="000000"/>
            <w:right w:val="single" w:sz="12" w:space="0" w:color="000000"/>
          </w:tcBorders>
        </w:tcPr>
        <w:p>
          <w:pPr>
            <w:pStyle w:val="Tvarkingas"/>
            <w:widowControl w:val="false"/>
            <w:suppressAutoHyphens w:val="true"/>
            <w:spacing w:lineRule="auto" w:line="240" w:before="60" w:after="60"/>
            <w:ind w:hanging="0"/>
            <w:jc w:val="left"/>
            <w:rPr>
              <w:rFonts w:ascii="Arial" w:hAnsi="Arial" w:cs="Arial"/>
              <w:caps/>
              <w:sz w:val="16"/>
              <w:szCs w:val="16"/>
              <w:lang w:val="lt-LT"/>
            </w:rPr>
          </w:pPr>
          <w:r>
            <w:rPr>
              <w:rFonts w:eastAsia="Calibri" w:cs="Arial" w:ascii="Arial" w:hAnsi="Arial"/>
              <w:caps/>
              <w:kern w:val="0"/>
              <w:sz w:val="16"/>
              <w:szCs w:val="16"/>
              <w:lang w:val="lt-LT" w:eastAsia="en-US" w:bidi="ar-SA"/>
            </w:rPr>
            <w:t>Statinio projekto pavadinimas</w:t>
          </w:r>
        </w:p>
        <w:p>
          <w:pPr>
            <w:pStyle w:val="Tvarkingas"/>
            <w:widowControl w:val="false"/>
            <w:suppressAutoHyphens w:val="true"/>
            <w:spacing w:lineRule="auto" w:line="240" w:before="60" w:after="60"/>
            <w:ind w:hanging="0"/>
            <w:rPr>
              <w:rFonts w:ascii="Arial" w:hAnsi="Arial" w:cs="Arial"/>
              <w:caps/>
              <w:sz w:val="16"/>
              <w:szCs w:val="16"/>
              <w:lang w:val="lt-LT"/>
            </w:rPr>
          </w:pPr>
          <w:r>
            <w:rPr>
              <w:rFonts w:eastAsia="Calibri" w:cs="Arial" w:ascii="Arial" w:hAnsi="Arial"/>
              <w:kern w:val="0"/>
              <w:sz w:val="16"/>
              <w:szCs w:val="16"/>
              <w:lang w:val="lt-LT" w:eastAsia="en-US" w:bidi="ar-SA"/>
            </w:rPr>
            <w:t>Vasaros koncertų estrados ir jos teritorijos, Liepojos g. 1, Klaipėdoje, kapitalinio remonto projektas</w:t>
          </w:r>
        </w:p>
      </w:tc>
    </w:tr>
    <w:tr>
      <w:trPr>
        <w:trHeight w:val="301" w:hRule="atLeast"/>
      </w:trPr>
      <w:tc>
        <w:tcPr>
          <w:tcW w:w="790" w:type="dxa"/>
          <w:tcBorders>
            <w:top w:val="single" w:sz="4" w:space="0" w:color="000000"/>
            <w:left w:val="single" w:sz="12" w:space="0" w:color="000000"/>
            <w:bottom w:val="single" w:sz="8" w:space="0" w:color="000000"/>
            <w:right w:val="single" w:sz="8"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drawing>
              <wp:anchor behindDoc="1" distT="0" distB="0" distL="0" distR="0" simplePos="0" locked="0" layoutInCell="0" allowOverlap="1" relativeHeight="14">
                <wp:simplePos x="0" y="0"/>
                <wp:positionH relativeFrom="margin">
                  <wp:posOffset>2479675</wp:posOffset>
                </wp:positionH>
                <wp:positionV relativeFrom="paragraph">
                  <wp:posOffset>-43815</wp:posOffset>
                </wp:positionV>
                <wp:extent cx="648970" cy="219075"/>
                <wp:effectExtent l="0" t="0" r="0" b="0"/>
                <wp:wrapSquare wrapText="largest"/>
                <wp:docPr id="4"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pic:cNvPicPr>
                          <a:picLocks noChangeAspect="1" noChangeArrowheads="1"/>
                        </pic:cNvPicPr>
                      </pic:nvPicPr>
                      <pic:blipFill>
                        <a:blip r:embed="rId2"/>
                        <a:stretch>
                          <a:fillRect/>
                        </a:stretch>
                      </pic:blipFill>
                      <pic:spPr bwMode="auto">
                        <a:xfrm>
                          <a:off x="0" y="0"/>
                          <a:ext cx="648970" cy="219075"/>
                        </a:xfrm>
                        <a:prstGeom prst="rect">
                          <a:avLst/>
                        </a:prstGeom>
                        <a:noFill/>
                      </pic:spPr>
                    </pic:pic>
                  </a:graphicData>
                </a:graphic>
              </wp:anchor>
            </w:drawing>
          </w:r>
          <w:r>
            <w:rPr>
              <w:rFonts w:eastAsia="Calibri" w:cs="Arial" w:ascii="Arial" w:hAnsi="Arial"/>
              <w:kern w:val="0"/>
              <w:sz w:val="16"/>
              <w:szCs w:val="16"/>
              <w:lang w:val="lt-LT" w:eastAsia="en-US" w:bidi="ar-SA"/>
            </w:rPr>
            <w:t>A 912</w:t>
          </w:r>
        </w:p>
      </w:tc>
      <w:tc>
        <w:tcPr>
          <w:tcW w:w="1076" w:type="dxa"/>
          <w:tcBorders>
            <w:top w:val="single" w:sz="4" w:space="0" w:color="000000"/>
            <w:left w:val="single" w:sz="8" w:space="0" w:color="000000"/>
            <w:bottom w:val="single" w:sz="8" w:space="0" w:color="000000"/>
            <w:right w:val="single" w:sz="4"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PV</w:t>
          </w:r>
        </w:p>
      </w:tc>
      <w:tc>
        <w:tcPr>
          <w:tcW w:w="2230" w:type="dxa"/>
          <w:tcBorders>
            <w:top w:val="single" w:sz="4" w:space="0" w:color="000000"/>
            <w:left w:val="single" w:sz="4" w:space="0" w:color="000000"/>
            <w:bottom w:val="single" w:sz="8" w:space="0" w:color="000000"/>
            <w:right w:val="single" w:sz="4"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Šarūnas Kiaunė</w:t>
          </w:r>
        </w:p>
      </w:tc>
      <w:tc>
        <w:tcPr>
          <w:tcW w:w="946" w:type="dxa"/>
          <w:tcBorders>
            <w:top w:val="single" w:sz="4" w:space="0" w:color="000000"/>
            <w:left w:val="single" w:sz="4" w:space="0" w:color="000000"/>
            <w:bottom w:val="single" w:sz="8" w:space="0" w:color="000000"/>
            <w:right w:val="single" w:sz="12" w:space="0" w:color="000000"/>
          </w:tcBorders>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cs="Arial" w:ascii="Arial" w:hAnsi="Arial"/>
              <w:sz w:val="16"/>
              <w:szCs w:val="16"/>
              <w:lang w:val="lt-LT"/>
            </w:rPr>
          </w:r>
        </w:p>
      </w:tc>
      <w:tc>
        <w:tcPr>
          <w:tcW w:w="5158" w:type="dxa"/>
          <w:gridSpan w:val="3"/>
          <w:vMerge w:val="continue"/>
          <w:tcBorders>
            <w:top w:val="single" w:sz="8" w:space="0" w:color="000000"/>
            <w:left w:val="single" w:sz="12" w:space="0" w:color="000000"/>
            <w:bottom w:val="single" w:sz="8" w:space="0" w:color="000000"/>
            <w:right w:val="single" w:sz="12" w:space="0" w:color="000000"/>
          </w:tcBorders>
        </w:tcPr>
        <w:p>
          <w:pPr>
            <w:pStyle w:val="Normal"/>
            <w:widowControl w:val="false"/>
            <w:suppressAutoHyphens w:val="true"/>
            <w:bidi w:val="0"/>
            <w:spacing w:lineRule="auto" w:line="276" w:before="0" w:after="200"/>
            <w:jc w:val="left"/>
            <w:rPr/>
          </w:pPr>
          <w:r>
            <w:rPr/>
          </w:r>
        </w:p>
      </w:tc>
    </w:tr>
    <w:tr>
      <w:trPr>
        <w:trHeight w:val="339" w:hRule="atLeast"/>
      </w:trPr>
      <w:tc>
        <w:tcPr>
          <w:tcW w:w="790" w:type="dxa"/>
          <w:tcBorders>
            <w:top w:val="single" w:sz="8" w:space="0" w:color="000000"/>
            <w:left w:val="single" w:sz="12" w:space="0" w:color="000000"/>
            <w:bottom w:val="single" w:sz="8" w:space="0" w:color="000000"/>
            <w:right w:val="single" w:sz="8" w:space="0" w:color="000000"/>
          </w:tcBorders>
          <w:vAlign w:val="center"/>
        </w:tcPr>
        <w:p>
          <w:pPr>
            <w:pStyle w:val="Tvarkingas"/>
            <w:widowControl w:val="false"/>
            <w:suppressAutoHyphens w:val="true"/>
            <w:spacing w:lineRule="auto" w:line="240" w:before="60" w:after="60"/>
            <w:ind w:hanging="0"/>
            <w:jc w:val="left"/>
            <w:rPr>
              <w:shd w:fill="auto" w:val="clear"/>
            </w:rPr>
          </w:pPr>
          <w:r>
            <w:drawing>
              <wp:anchor behindDoc="1" distT="0" distB="0" distL="0" distR="0" simplePos="0" locked="0" layoutInCell="0" allowOverlap="1" relativeHeight="15">
                <wp:simplePos x="0" y="0"/>
                <wp:positionH relativeFrom="margin">
                  <wp:posOffset>2600960</wp:posOffset>
                </wp:positionH>
                <wp:positionV relativeFrom="paragraph">
                  <wp:posOffset>-78740</wp:posOffset>
                </wp:positionV>
                <wp:extent cx="466090" cy="344170"/>
                <wp:effectExtent l="0" t="0" r="0" b="0"/>
                <wp:wrapSquare wrapText="largest"/>
                <wp:docPr id="5"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
                        <pic:cNvPicPr>
                          <a:picLocks noChangeAspect="1" noChangeArrowheads="1"/>
                        </pic:cNvPicPr>
                      </pic:nvPicPr>
                      <pic:blipFill>
                        <a:blip r:embed="rId3"/>
                        <a:stretch>
                          <a:fillRect/>
                        </a:stretch>
                      </pic:blipFill>
                      <pic:spPr bwMode="auto">
                        <a:xfrm>
                          <a:off x="0" y="0"/>
                          <a:ext cx="466090" cy="344170"/>
                        </a:xfrm>
                        <a:prstGeom prst="rect">
                          <a:avLst/>
                        </a:prstGeom>
                        <a:noFill/>
                      </pic:spPr>
                    </pic:pic>
                  </a:graphicData>
                </a:graphic>
              </wp:anchor>
            </w:drawing>
          </w:r>
          <w:r>
            <w:rPr>
              <w:rFonts w:eastAsia="Calibri" w:cs="Arial" w:ascii="Arial" w:hAnsi="Arial"/>
              <w:kern w:val="0"/>
              <w:sz w:val="16"/>
              <w:szCs w:val="16"/>
              <w:shd w:fill="auto" w:val="clear"/>
              <w:lang w:val="lt-LT" w:eastAsia="en-US" w:bidi="ar-SA"/>
            </w:rPr>
            <w:t>A 774</w:t>
          </w:r>
        </w:p>
      </w:tc>
      <w:tc>
        <w:tcPr>
          <w:tcW w:w="1076" w:type="dxa"/>
          <w:tcBorders>
            <w:top w:val="single" w:sz="8" w:space="0" w:color="000000"/>
            <w:left w:val="single" w:sz="8" w:space="0" w:color="000000"/>
            <w:bottom w:val="single" w:sz="8" w:space="0" w:color="000000"/>
            <w:right w:val="single" w:sz="4" w:space="0" w:color="000000"/>
          </w:tcBorders>
          <w:vAlign w:val="center"/>
        </w:tcPr>
        <w:p>
          <w:pPr>
            <w:pStyle w:val="Tvarkingas"/>
            <w:widowControl w:val="false"/>
            <w:suppressAutoHyphens w:val="true"/>
            <w:spacing w:lineRule="auto" w:line="240" w:before="60" w:after="60"/>
            <w:ind w:hanging="0"/>
            <w:jc w:val="left"/>
            <w:rPr>
              <w:shd w:fill="auto" w:val="clear"/>
            </w:rPr>
          </w:pPr>
          <w:r>
            <w:rPr>
              <w:rFonts w:eastAsia="Calibri" w:cs="Arial" w:ascii="Arial" w:hAnsi="Arial"/>
              <w:kern w:val="0"/>
              <w:sz w:val="16"/>
              <w:szCs w:val="16"/>
              <w:shd w:fill="auto" w:val="clear"/>
              <w:lang w:val="lt-LT" w:eastAsia="en-US" w:bidi="ar-SA"/>
            </w:rPr>
            <w:t>PDV</w:t>
          </w:r>
        </w:p>
      </w:tc>
      <w:tc>
        <w:tcPr>
          <w:tcW w:w="2230" w:type="dxa"/>
          <w:tcBorders>
            <w:top w:val="single" w:sz="8" w:space="0" w:color="000000"/>
            <w:left w:val="single" w:sz="4" w:space="0" w:color="000000"/>
            <w:bottom w:val="single" w:sz="8" w:space="0" w:color="000000"/>
            <w:right w:val="single" w:sz="4" w:space="0" w:color="000000"/>
          </w:tcBorders>
          <w:vAlign w:val="center"/>
        </w:tcPr>
        <w:p>
          <w:pPr>
            <w:pStyle w:val="Tvarkingas"/>
            <w:widowControl w:val="false"/>
            <w:suppressAutoHyphens w:val="true"/>
            <w:spacing w:lineRule="auto" w:line="240" w:before="60" w:after="60"/>
            <w:ind w:hanging="0"/>
            <w:jc w:val="left"/>
            <w:rPr>
              <w:shd w:fill="auto" w:val="clear"/>
            </w:rPr>
          </w:pPr>
          <w:r>
            <w:rPr>
              <w:rFonts w:eastAsia="Calibri" w:cs="Arial" w:ascii="Arial" w:hAnsi="Arial"/>
              <w:kern w:val="0"/>
              <w:sz w:val="16"/>
              <w:szCs w:val="16"/>
              <w:shd w:fill="auto" w:val="clear"/>
              <w:lang w:val="lt-LT" w:eastAsia="en-US" w:bidi="ar-SA"/>
            </w:rPr>
            <w:t>Asta Kiaunienė</w:t>
          </w:r>
        </w:p>
      </w:tc>
      <w:tc>
        <w:tcPr>
          <w:tcW w:w="946" w:type="dxa"/>
          <w:tcBorders>
            <w:top w:val="single" w:sz="8" w:space="0" w:color="000000"/>
            <w:left w:val="single" w:sz="4" w:space="0" w:color="000000"/>
            <w:bottom w:val="single" w:sz="8" w:space="0" w:color="000000"/>
            <w:right w:val="single" w:sz="12" w:space="0" w:color="000000"/>
          </w:tcBorders>
          <w:vAlign w:val="center"/>
        </w:tcPr>
        <w:p>
          <w:pPr>
            <w:pStyle w:val="Tvarkingas"/>
            <w:widowControl w:val="false"/>
            <w:suppressAutoHyphens w:val="true"/>
            <w:spacing w:lineRule="auto" w:line="240" w:before="60" w:after="60"/>
            <w:ind w:hanging="0"/>
            <w:jc w:val="left"/>
            <w:rPr>
              <w:rFonts w:ascii="Arial" w:hAnsi="Arial" w:cs="Arial"/>
              <w:color w:val="0070C0"/>
              <w:sz w:val="16"/>
              <w:szCs w:val="16"/>
              <w:lang w:val="lt-LT"/>
            </w:rPr>
          </w:pPr>
          <w:r>
            <w:rPr>
              <w:rFonts w:cs="Arial" w:ascii="Arial" w:hAnsi="Arial"/>
              <w:color w:val="0070C0"/>
              <w:sz w:val="16"/>
              <w:szCs w:val="16"/>
              <w:lang w:val="lt-LT"/>
            </w:rPr>
          </w:r>
        </w:p>
      </w:tc>
      <w:tc>
        <w:tcPr>
          <w:tcW w:w="4383" w:type="dxa"/>
          <w:gridSpan w:val="2"/>
          <w:vMerge w:val="restart"/>
          <w:tcBorders>
            <w:top w:val="single" w:sz="8" w:space="0" w:color="000000"/>
            <w:left w:val="single" w:sz="12" w:space="0" w:color="000000"/>
            <w:bottom w:val="single" w:sz="12" w:space="0" w:color="000000"/>
            <w:right w:val="single" w:sz="8" w:space="0" w:color="000000"/>
          </w:tcBorders>
        </w:tcPr>
        <w:p>
          <w:pPr>
            <w:pStyle w:val="Tvarkingas"/>
            <w:widowControl w:val="false"/>
            <w:suppressAutoHyphens w:val="true"/>
            <w:spacing w:lineRule="auto" w:line="240" w:before="60" w:after="60"/>
            <w:ind w:hanging="0"/>
            <w:jc w:val="left"/>
            <w:rPr>
              <w:rFonts w:ascii="Arial" w:hAnsi="Arial" w:cs="Arial"/>
              <w:caps/>
              <w:sz w:val="16"/>
              <w:szCs w:val="16"/>
              <w:lang w:val="lt-LT"/>
            </w:rPr>
          </w:pPr>
          <w:r>
            <w:rPr>
              <w:rFonts w:eastAsia="Calibri" w:cs="Arial" w:ascii="Arial" w:hAnsi="Arial"/>
              <w:caps/>
              <w:kern w:val="0"/>
              <w:sz w:val="16"/>
              <w:szCs w:val="16"/>
              <w:lang w:val="lt-LT" w:eastAsia="en-US" w:bidi="ar-SA"/>
            </w:rPr>
            <w:t>Dokumento pavadinimas</w:t>
          </w:r>
        </w:p>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Sąnaudų kiekių žiniaraštis</w:t>
          </w:r>
        </w:p>
      </w:tc>
      <w:tc>
        <w:tcPr>
          <w:tcW w:w="775" w:type="dxa"/>
          <w:tcBorders>
            <w:top w:val="single" w:sz="8" w:space="0" w:color="000000"/>
            <w:left w:val="single" w:sz="8" w:space="0" w:color="000000"/>
            <w:bottom w:val="single" w:sz="8" w:space="0" w:color="000000"/>
            <w:right w:val="single" w:sz="12" w:space="0" w:color="000000"/>
          </w:tcBorders>
        </w:tcPr>
        <w:p>
          <w:pPr>
            <w:pStyle w:val="Tvarkingas"/>
            <w:widowControl w:val="false"/>
            <w:suppressAutoHyphens w:val="true"/>
            <w:spacing w:lineRule="auto" w:line="240" w:before="60" w:after="60"/>
            <w:ind w:hanging="0"/>
            <w:jc w:val="center"/>
            <w:rPr>
              <w:rFonts w:ascii="Arial" w:hAnsi="Arial" w:cs="Arial"/>
              <w:caps/>
              <w:sz w:val="16"/>
              <w:szCs w:val="16"/>
              <w:lang w:val="lt-LT"/>
            </w:rPr>
          </w:pPr>
          <w:r>
            <w:rPr>
              <w:rFonts w:eastAsia="Calibri" w:cs="Arial" w:ascii="Arial" w:hAnsi="Arial"/>
              <w:caps/>
              <w:kern w:val="0"/>
              <w:sz w:val="16"/>
              <w:szCs w:val="16"/>
              <w:lang w:val="lt-LT" w:eastAsia="en-US" w:bidi="ar-SA"/>
            </w:rPr>
            <w:t>Laida</w:t>
          </w:r>
        </w:p>
      </w:tc>
    </w:tr>
    <w:tr>
      <w:trPr>
        <w:trHeight w:val="288" w:hRule="atLeast"/>
      </w:trPr>
      <w:tc>
        <w:tcPr>
          <w:tcW w:w="790" w:type="dxa"/>
          <w:tcBorders>
            <w:top w:val="single" w:sz="8" w:space="0" w:color="000000"/>
            <w:left w:val="single" w:sz="12" w:space="0" w:color="000000"/>
            <w:bottom w:val="single" w:sz="12" w:space="0" w:color="000000"/>
            <w:right w:val="single" w:sz="8"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cs="Arial" w:ascii="Arial" w:hAnsi="Arial"/>
              <w:sz w:val="16"/>
              <w:szCs w:val="16"/>
              <w:lang w:val="lt-LT"/>
            </w:rPr>
            <w:drawing>
              <wp:anchor behindDoc="1" distT="0" distB="0" distL="0" distR="0" simplePos="0" locked="0" layoutInCell="0" allowOverlap="1" relativeHeight="16">
                <wp:simplePos x="0" y="0"/>
                <wp:positionH relativeFrom="margin">
                  <wp:posOffset>2600960</wp:posOffset>
                </wp:positionH>
                <wp:positionV relativeFrom="paragraph">
                  <wp:posOffset>-73660</wp:posOffset>
                </wp:positionV>
                <wp:extent cx="466090" cy="400685"/>
                <wp:effectExtent l="0" t="0" r="0" b="0"/>
                <wp:wrapSquare wrapText="largest"/>
                <wp:docPr id="6"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
                        <pic:cNvPicPr>
                          <a:picLocks noChangeAspect="1" noChangeArrowheads="1"/>
                        </pic:cNvPicPr>
                      </pic:nvPicPr>
                      <pic:blipFill>
                        <a:blip r:embed="rId4"/>
                        <a:stretch>
                          <a:fillRect/>
                        </a:stretch>
                      </pic:blipFill>
                      <pic:spPr bwMode="auto">
                        <a:xfrm>
                          <a:off x="0" y="0"/>
                          <a:ext cx="466090" cy="400685"/>
                        </a:xfrm>
                        <a:prstGeom prst="rect">
                          <a:avLst/>
                        </a:prstGeom>
                        <a:noFill/>
                      </pic:spPr>
                    </pic:pic>
                  </a:graphicData>
                </a:graphic>
              </wp:anchor>
            </w:drawing>
          </w:r>
        </w:p>
      </w:tc>
      <w:tc>
        <w:tcPr>
          <w:tcW w:w="1076" w:type="dxa"/>
          <w:tcBorders>
            <w:top w:val="single" w:sz="8" w:space="0" w:color="000000"/>
            <w:left w:val="single" w:sz="8" w:space="0" w:color="000000"/>
            <w:bottom w:val="single" w:sz="12" w:space="0" w:color="000000"/>
            <w:right w:val="single" w:sz="4"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Arch.</w:t>
          </w:r>
        </w:p>
      </w:tc>
      <w:tc>
        <w:tcPr>
          <w:tcW w:w="2230" w:type="dxa"/>
          <w:tcBorders>
            <w:top w:val="single" w:sz="8" w:space="0" w:color="000000"/>
            <w:left w:val="single" w:sz="4" w:space="0" w:color="000000"/>
            <w:bottom w:val="single" w:sz="12" w:space="0" w:color="000000"/>
            <w:right w:val="single" w:sz="4"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Gintarė Marozaitė</w:t>
          </w:r>
        </w:p>
      </w:tc>
      <w:tc>
        <w:tcPr>
          <w:tcW w:w="946" w:type="dxa"/>
          <w:tcBorders>
            <w:top w:val="single" w:sz="8" w:space="0" w:color="000000"/>
            <w:left w:val="single" w:sz="4" w:space="0" w:color="000000"/>
            <w:bottom w:val="single" w:sz="12" w:space="0" w:color="000000"/>
            <w:right w:val="single" w:sz="12"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cs="Arial" w:ascii="Arial" w:hAnsi="Arial"/>
              <w:sz w:val="16"/>
              <w:szCs w:val="16"/>
              <w:lang w:val="lt-LT"/>
            </w:rPr>
          </w:r>
        </w:p>
      </w:tc>
      <w:tc>
        <w:tcPr>
          <w:tcW w:w="4383" w:type="dxa"/>
          <w:gridSpan w:val="2"/>
          <w:vMerge w:val="continue"/>
          <w:tcBorders>
            <w:top w:val="single" w:sz="8" w:space="0" w:color="000000"/>
            <w:left w:val="single" w:sz="8" w:space="0" w:color="000000"/>
            <w:bottom w:val="single" w:sz="12" w:space="0" w:color="000000"/>
            <w:right w:val="single" w:sz="8" w:space="0" w:color="000000"/>
          </w:tcBorders>
          <w:vAlign w:val="center"/>
        </w:tcPr>
        <w:p>
          <w:pPr>
            <w:pStyle w:val="Normal"/>
            <w:widowControl w:val="false"/>
            <w:suppressAutoHyphens w:val="true"/>
            <w:bidi w:val="0"/>
            <w:spacing w:lineRule="auto" w:line="276" w:before="0" w:after="200"/>
            <w:jc w:val="left"/>
            <w:rPr/>
          </w:pPr>
          <w:r>
            <w:rPr/>
          </w:r>
        </w:p>
      </w:tc>
      <w:tc>
        <w:tcPr>
          <w:tcW w:w="775" w:type="dxa"/>
          <w:tcBorders>
            <w:top w:val="single" w:sz="8" w:space="0" w:color="000000"/>
            <w:left w:val="single" w:sz="8" w:space="0" w:color="000000"/>
            <w:bottom w:val="single" w:sz="12" w:space="0" w:color="000000"/>
            <w:right w:val="single" w:sz="12" w:space="0" w:color="000000"/>
          </w:tcBorders>
        </w:tcPr>
        <w:p>
          <w:pPr>
            <w:pStyle w:val="Tvarkingas"/>
            <w:widowControl w:val="false"/>
            <w:suppressAutoHyphens w:val="true"/>
            <w:spacing w:lineRule="auto" w:line="240" w:before="60" w:after="60"/>
            <w:ind w:hanging="0"/>
            <w:jc w:val="center"/>
            <w:rPr>
              <w:rFonts w:ascii="Arial" w:hAnsi="Arial" w:cs="Arial"/>
              <w:sz w:val="16"/>
              <w:szCs w:val="16"/>
              <w:lang w:val="lt-LT"/>
            </w:rPr>
          </w:pPr>
          <w:r>
            <w:rPr>
              <w:rFonts w:eastAsia="Calibri" w:cs="Arial" w:ascii="Arial" w:hAnsi="Arial"/>
              <w:kern w:val="0"/>
              <w:sz w:val="16"/>
              <w:szCs w:val="16"/>
              <w:lang w:val="lt-LT" w:eastAsia="en-US" w:bidi="ar-SA"/>
            </w:rPr>
            <w:t>0</w:t>
          </w:r>
        </w:p>
      </w:tc>
    </w:tr>
    <w:tr>
      <w:trPr>
        <w:trHeight w:val="288" w:hRule="atLeast"/>
      </w:trPr>
      <w:tc>
        <w:tcPr>
          <w:tcW w:w="790" w:type="dxa"/>
          <w:vMerge w:val="restart"/>
          <w:tcBorders>
            <w:top w:val="single" w:sz="12" w:space="0" w:color="000000"/>
            <w:left w:val="single" w:sz="12" w:space="0" w:color="000000"/>
            <w:bottom w:val="single" w:sz="12" w:space="0" w:color="000000"/>
            <w:right w:val="single" w:sz="8" w:space="0" w:color="000000"/>
          </w:tcBorders>
        </w:tcPr>
        <w:p>
          <w:pPr>
            <w:pStyle w:val="Tvarkingas"/>
            <w:widowControl w:val="false"/>
            <w:suppressAutoHyphens w:val="true"/>
            <w:spacing w:lineRule="auto" w:line="240" w:before="60" w:after="60"/>
            <w:ind w:hanging="0"/>
            <w:jc w:val="center"/>
            <w:rPr>
              <w:rFonts w:ascii="Arial" w:hAnsi="Arial" w:cs="Arial"/>
              <w:caps/>
              <w:sz w:val="16"/>
              <w:szCs w:val="16"/>
              <w:lang w:val="lt-LT"/>
            </w:rPr>
          </w:pPr>
          <w:r>
            <w:rPr>
              <w:rFonts w:eastAsia="Calibri" w:cs="Arial" w:ascii="Arial" w:hAnsi="Arial"/>
              <w:caps/>
              <w:kern w:val="0"/>
              <w:sz w:val="16"/>
              <w:szCs w:val="16"/>
              <w:lang w:val="lt-LT" w:eastAsia="en-US" w:bidi="ar-SA"/>
            </w:rPr>
            <w:t>Kalba</w:t>
          </w:r>
        </w:p>
        <w:p>
          <w:pPr>
            <w:pStyle w:val="Tvarkingas"/>
            <w:widowControl w:val="false"/>
            <w:suppressAutoHyphens w:val="true"/>
            <w:spacing w:lineRule="auto" w:line="240" w:before="60" w:after="60"/>
            <w:ind w:hanging="0"/>
            <w:jc w:val="center"/>
            <w:rPr>
              <w:rFonts w:ascii="Arial" w:hAnsi="Arial" w:cs="Arial"/>
              <w:sz w:val="16"/>
              <w:szCs w:val="16"/>
              <w:lang w:val="lt-LT"/>
            </w:rPr>
          </w:pPr>
          <w:r>
            <w:rPr>
              <w:rFonts w:eastAsia="Calibri" w:cs="Arial" w:ascii="Arial" w:hAnsi="Arial"/>
              <w:kern w:val="0"/>
              <w:sz w:val="16"/>
              <w:szCs w:val="16"/>
              <w:lang w:val="lt-LT" w:eastAsia="en-US" w:bidi="ar-SA"/>
            </w:rPr>
            <w:t>LT</w:t>
          </w:r>
        </w:p>
      </w:tc>
      <w:tc>
        <w:tcPr>
          <w:tcW w:w="4252" w:type="dxa"/>
          <w:gridSpan w:val="3"/>
          <w:vMerge w:val="restart"/>
          <w:tcBorders>
            <w:top w:val="single" w:sz="12" w:space="0" w:color="000000"/>
            <w:left w:val="single" w:sz="8" w:space="0" w:color="000000"/>
            <w:bottom w:val="single" w:sz="12" w:space="0" w:color="000000"/>
            <w:right w:val="single" w:sz="12" w:space="0" w:color="000000"/>
          </w:tcBorders>
        </w:tcPr>
        <w:p>
          <w:pPr>
            <w:pStyle w:val="Tvarkingas"/>
            <w:widowControl w:val="false"/>
            <w:numPr>
              <w:ilvl w:val="0"/>
              <w:numId w:val="0"/>
            </w:numPr>
            <w:suppressAutoHyphens w:val="true"/>
            <w:spacing w:lineRule="auto" w:line="240" w:before="60" w:after="60"/>
            <w:ind w:hanging="0" w:left="0"/>
            <w:jc w:val="left"/>
            <w:outlineLvl w:val="0"/>
            <w:rPr>
              <w:rFonts w:ascii="Arial" w:hAnsi="Arial" w:cs="Arial"/>
              <w:caps/>
              <w:sz w:val="16"/>
              <w:szCs w:val="16"/>
              <w:lang w:val="lt-LT"/>
            </w:rPr>
          </w:pPr>
          <w:r>
            <w:rPr>
              <w:rFonts w:eastAsia="Calibri" w:cs="Arial" w:ascii="Arial" w:hAnsi="Arial"/>
              <w:caps/>
              <w:kern w:val="0"/>
              <w:sz w:val="16"/>
              <w:szCs w:val="16"/>
              <w:lang w:val="lt-LT" w:eastAsia="en-US" w:bidi="ar-SA"/>
            </w:rPr>
            <w:t>Statytojas IR (AR) Užsakovas</w:t>
          </w:r>
        </w:p>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Klaipėdos miesto savivaldybė</w:t>
          </w:r>
        </w:p>
      </w:tc>
      <w:tc>
        <w:tcPr>
          <w:tcW w:w="3615" w:type="dxa"/>
          <w:vMerge w:val="restart"/>
          <w:tcBorders>
            <w:top w:val="single" w:sz="12" w:space="0" w:color="000000"/>
            <w:left w:val="single" w:sz="12" w:space="0" w:color="000000"/>
            <w:bottom w:val="single" w:sz="12" w:space="0" w:color="000000"/>
            <w:right w:val="single" w:sz="8" w:space="0" w:color="000000"/>
          </w:tcBorders>
        </w:tcPr>
        <w:p>
          <w:pPr>
            <w:pStyle w:val="Tvarkingas"/>
            <w:widowControl w:val="false"/>
            <w:suppressAutoHyphens w:val="true"/>
            <w:spacing w:lineRule="auto" w:line="240" w:before="60" w:after="60"/>
            <w:ind w:hanging="0"/>
            <w:jc w:val="left"/>
            <w:rPr>
              <w:rFonts w:ascii="Arial" w:hAnsi="Arial" w:cs="Arial"/>
              <w:caps/>
              <w:sz w:val="16"/>
              <w:szCs w:val="16"/>
              <w:lang w:val="lt-LT"/>
            </w:rPr>
          </w:pPr>
          <w:r>
            <w:rPr>
              <w:rFonts w:eastAsia="Calibri" w:cs="Arial" w:ascii="Arial" w:hAnsi="Arial"/>
              <w:caps/>
              <w:kern w:val="0"/>
              <w:sz w:val="16"/>
              <w:szCs w:val="16"/>
              <w:lang w:val="lt-LT" w:eastAsia="en-US" w:bidi="ar-SA"/>
            </w:rPr>
            <w:t>Dokumento žymuo</w:t>
          </w:r>
        </w:p>
        <w:p>
          <w:pPr>
            <w:pStyle w:val="Tvarkingas"/>
            <w:widowControl w:val="false"/>
            <w:suppressAutoHyphens w:val="true"/>
            <w:spacing w:lineRule="auto" w:line="240" w:before="60" w:after="60"/>
            <w:ind w:hanging="0"/>
            <w:jc w:val="left"/>
            <w:rPr>
              <w:color w:val="auto"/>
              <w:shd w:fill="auto" w:val="clear"/>
            </w:rPr>
          </w:pPr>
          <w:r>
            <w:rPr>
              <w:rFonts w:eastAsia="Calibri" w:cs="Arial" w:ascii="Arial" w:hAnsi="Arial"/>
              <w:color w:val="000000"/>
              <w:kern w:val="0"/>
              <w:sz w:val="16"/>
              <w:szCs w:val="16"/>
              <w:shd w:fill="auto" w:val="clear"/>
              <w:lang w:val="lt-LT" w:eastAsia="en-US" w:bidi="ar-SA"/>
            </w:rPr>
            <w:t>P22-037-KRTP-</w:t>
          </w:r>
          <w:r>
            <w:rPr>
              <w:rFonts w:eastAsia="Calibri" w:cs="Arial" w:ascii="Arial" w:hAnsi="Arial"/>
              <w:color w:val="000000"/>
              <w:kern w:val="0"/>
              <w:sz w:val="16"/>
              <w:szCs w:val="16"/>
              <w:shd w:fill="auto" w:val="clear"/>
              <w:lang w:val="en-US" w:eastAsia="en-US" w:bidi="ar-SA"/>
            </w:rPr>
            <w:t>SP</w:t>
          </w:r>
          <w:r>
            <w:rPr>
              <w:rFonts w:eastAsia="Calibri" w:cs="Arial" w:ascii="Arial" w:hAnsi="Arial"/>
              <w:color w:val="000000"/>
              <w:kern w:val="0"/>
              <w:sz w:val="16"/>
              <w:szCs w:val="16"/>
              <w:shd w:fill="auto" w:val="clear"/>
              <w:lang w:val="lt-LT" w:eastAsia="en-US" w:bidi="ar-SA"/>
            </w:rPr>
            <w:t>.SKŽ</w:t>
          </w:r>
        </w:p>
      </w:tc>
      <w:tc>
        <w:tcPr>
          <w:tcW w:w="768" w:type="dxa"/>
          <w:tcBorders>
            <w:top w:val="single" w:sz="12" w:space="0" w:color="000000"/>
            <w:left w:val="single" w:sz="8" w:space="0" w:color="000000"/>
            <w:bottom w:val="single" w:sz="8" w:space="0" w:color="000000"/>
            <w:right w:val="single" w:sz="8" w:space="0" w:color="000000"/>
          </w:tcBorders>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caps/>
              <w:kern w:val="0"/>
              <w:sz w:val="16"/>
              <w:szCs w:val="16"/>
              <w:lang w:val="lt-LT" w:eastAsia="en-US" w:bidi="ar-SA"/>
            </w:rPr>
            <w:t>Lapas</w:t>
          </w:r>
        </w:p>
      </w:tc>
      <w:tc>
        <w:tcPr>
          <w:tcW w:w="775" w:type="dxa"/>
          <w:tcBorders>
            <w:top w:val="single" w:sz="12" w:space="0" w:color="000000"/>
            <w:left w:val="single" w:sz="8" w:space="0" w:color="000000"/>
            <w:bottom w:val="single" w:sz="8" w:space="0" w:color="000000"/>
            <w:right w:val="single" w:sz="12" w:space="0" w:color="000000"/>
          </w:tcBorders>
        </w:tcPr>
        <w:p>
          <w:pPr>
            <w:pStyle w:val="Tvarkingas"/>
            <w:widowControl w:val="false"/>
            <w:suppressAutoHyphens w:val="true"/>
            <w:spacing w:lineRule="auto" w:line="240" w:before="60" w:after="60"/>
            <w:ind w:hanging="0"/>
            <w:jc w:val="center"/>
            <w:rPr>
              <w:rFonts w:ascii="Arial" w:hAnsi="Arial" w:cs="Arial"/>
              <w:color w:val="0070C0"/>
              <w:sz w:val="16"/>
              <w:szCs w:val="16"/>
              <w:lang w:val="lt-LT"/>
            </w:rPr>
          </w:pPr>
          <w:r>
            <w:rPr>
              <w:rFonts w:eastAsia="Calibri" w:cs="Arial" w:ascii="Arial" w:hAnsi="Arial"/>
              <w:caps/>
              <w:kern w:val="0"/>
              <w:sz w:val="16"/>
              <w:szCs w:val="16"/>
              <w:lang w:val="lt-LT" w:eastAsia="en-US" w:bidi="ar-SA"/>
            </w:rPr>
            <w:t>Lapų</w:t>
          </w:r>
        </w:p>
      </w:tc>
    </w:tr>
    <w:tr>
      <w:trPr>
        <w:trHeight w:val="288" w:hRule="atLeast"/>
      </w:trPr>
      <w:tc>
        <w:tcPr>
          <w:tcW w:w="790" w:type="dxa"/>
          <w:vMerge w:val="continue"/>
          <w:tcBorders>
            <w:top w:val="single" w:sz="12" w:space="0" w:color="000000"/>
            <w:left w:val="single" w:sz="12" w:space="0" w:color="000000"/>
            <w:bottom w:val="single" w:sz="12" w:space="0" w:color="000000"/>
            <w:right w:val="single" w:sz="8" w:space="0" w:color="000000"/>
          </w:tcBorders>
          <w:vAlign w:val="center"/>
        </w:tcPr>
        <w:p>
          <w:pPr>
            <w:pStyle w:val="Normal"/>
            <w:widowControl w:val="false"/>
            <w:suppressAutoHyphens w:val="true"/>
            <w:bidi w:val="0"/>
            <w:spacing w:lineRule="auto" w:line="276" w:before="0" w:after="200"/>
            <w:jc w:val="left"/>
            <w:rPr/>
          </w:pPr>
          <w:r>
            <w:rPr/>
          </w:r>
        </w:p>
      </w:tc>
      <w:tc>
        <w:tcPr>
          <w:tcW w:w="4252" w:type="dxa"/>
          <w:gridSpan w:val="3"/>
          <w:vMerge w:val="continue"/>
          <w:tcBorders>
            <w:top w:val="single" w:sz="12" w:space="0" w:color="000000"/>
            <w:left w:val="single" w:sz="8" w:space="0" w:color="000000"/>
            <w:bottom w:val="single" w:sz="12" w:space="0" w:color="000000"/>
            <w:right w:val="single" w:sz="12" w:space="0" w:color="000000"/>
          </w:tcBorders>
          <w:vAlign w:val="center"/>
        </w:tcPr>
        <w:p>
          <w:pPr>
            <w:pStyle w:val="Normal"/>
            <w:widowControl w:val="false"/>
            <w:suppressAutoHyphens w:val="true"/>
            <w:bidi w:val="0"/>
            <w:spacing w:lineRule="auto" w:line="276" w:before="0" w:after="200"/>
            <w:jc w:val="left"/>
            <w:rPr/>
          </w:pPr>
          <w:r>
            <w:rPr/>
          </w:r>
        </w:p>
      </w:tc>
      <w:tc>
        <w:tcPr>
          <w:tcW w:w="3615" w:type="dxa"/>
          <w:vMerge w:val="continue"/>
          <w:tcBorders>
            <w:top w:val="single" w:sz="12" w:space="0" w:color="000000"/>
            <w:left w:val="single" w:sz="12" w:space="0" w:color="000000"/>
            <w:bottom w:val="single" w:sz="12" w:space="0" w:color="000000"/>
            <w:right w:val="single" w:sz="8" w:space="0" w:color="000000"/>
          </w:tcBorders>
        </w:tcPr>
        <w:p>
          <w:pPr>
            <w:pStyle w:val="Normal"/>
            <w:widowControl w:val="false"/>
            <w:suppressAutoHyphens w:val="true"/>
            <w:bidi w:val="0"/>
            <w:spacing w:lineRule="auto" w:line="276" w:before="0" w:after="200"/>
            <w:jc w:val="left"/>
            <w:rPr/>
          </w:pPr>
          <w:r>
            <w:rPr/>
          </w:r>
        </w:p>
      </w:tc>
      <w:tc>
        <w:tcPr>
          <w:tcW w:w="768" w:type="dxa"/>
          <w:tcBorders>
            <w:top w:val="single" w:sz="8" w:space="0" w:color="000000"/>
            <w:left w:val="single" w:sz="8" w:space="0" w:color="000000"/>
            <w:bottom w:val="single" w:sz="12" w:space="0" w:color="000000"/>
            <w:right w:val="single" w:sz="8" w:space="0" w:color="000000"/>
          </w:tcBorders>
          <w:vAlign w:val="center"/>
        </w:tcPr>
        <w:p>
          <w:pPr>
            <w:pStyle w:val="Tvarkingas"/>
            <w:widowControl w:val="false"/>
            <w:suppressAutoHyphens w:val="true"/>
            <w:spacing w:lineRule="auto" w:line="240" w:before="60" w:after="60"/>
            <w:ind w:hanging="0"/>
            <w:jc w:val="center"/>
            <w:rPr>
              <w:rFonts w:ascii="Arial" w:hAnsi="Arial" w:cs="Arial"/>
              <w:sz w:val="16"/>
              <w:szCs w:val="16"/>
              <w:lang w:val="lt-LT"/>
            </w:rPr>
          </w:pPr>
          <w:r>
            <w:rPr>
              <w:rFonts w:eastAsia="Calibri" w:cs="Arial" w:ascii="Arial" w:hAnsi="Arial"/>
              <w:kern w:val="0"/>
              <w:sz w:val="16"/>
              <w:szCs w:val="16"/>
              <w:lang w:val="en-US" w:eastAsia="en-US" w:bidi="ar-SA"/>
            </w:rPr>
            <w:fldChar w:fldCharType="begin"/>
          </w:r>
          <w:r>
            <w:rPr>
              <w:sz w:val="16"/>
              <w:kern w:val="0"/>
              <w:szCs w:val="16"/>
              <w:rFonts w:eastAsia="Calibri" w:cs="Arial" w:ascii="Arial" w:hAnsi="Arial"/>
              <w:lang w:val="en-US" w:eastAsia="en-US" w:bidi="ar-SA"/>
            </w:rPr>
            <w:instrText xml:space="preserve"> PAGE </w:instrText>
          </w:r>
          <w:r>
            <w:rPr>
              <w:sz w:val="16"/>
              <w:kern w:val="0"/>
              <w:szCs w:val="16"/>
              <w:rFonts w:eastAsia="Calibri" w:cs="Arial" w:ascii="Arial" w:hAnsi="Arial"/>
              <w:lang w:val="en-US" w:eastAsia="en-US" w:bidi="ar-SA"/>
            </w:rPr>
            <w:fldChar w:fldCharType="separate"/>
          </w:r>
          <w:r>
            <w:rPr>
              <w:sz w:val="16"/>
              <w:kern w:val="0"/>
              <w:szCs w:val="16"/>
              <w:rFonts w:eastAsia="Calibri" w:cs="Arial" w:ascii="Arial" w:hAnsi="Arial"/>
              <w:lang w:val="en-US" w:eastAsia="en-US" w:bidi="ar-SA"/>
            </w:rPr>
            <w:t>1</w:t>
          </w:r>
          <w:r>
            <w:rPr>
              <w:sz w:val="16"/>
              <w:kern w:val="0"/>
              <w:szCs w:val="16"/>
              <w:rFonts w:eastAsia="Calibri" w:cs="Arial" w:ascii="Arial" w:hAnsi="Arial"/>
              <w:lang w:val="en-US" w:eastAsia="en-US" w:bidi="ar-SA"/>
            </w:rPr>
            <w:fldChar w:fldCharType="end"/>
          </w:r>
        </w:p>
      </w:tc>
      <w:tc>
        <w:tcPr>
          <w:tcW w:w="775" w:type="dxa"/>
          <w:tcBorders>
            <w:top w:val="single" w:sz="8" w:space="0" w:color="000000"/>
            <w:left w:val="single" w:sz="8" w:space="0" w:color="000000"/>
            <w:bottom w:val="single" w:sz="12" w:space="0" w:color="000000"/>
            <w:right w:val="single" w:sz="12" w:space="0" w:color="000000"/>
          </w:tcBorders>
          <w:vAlign w:val="center"/>
        </w:tcPr>
        <w:p>
          <w:pPr>
            <w:pStyle w:val="Tvarkingas"/>
            <w:widowControl w:val="false"/>
            <w:suppressAutoHyphens w:val="true"/>
            <w:spacing w:lineRule="auto" w:line="240" w:before="60" w:after="60"/>
            <w:ind w:hanging="0"/>
            <w:jc w:val="center"/>
            <w:rPr>
              <w:rFonts w:ascii="Arial" w:hAnsi="Arial" w:cs="Arial"/>
              <w:color w:val="0070C0"/>
              <w:sz w:val="16"/>
              <w:szCs w:val="16"/>
              <w:lang w:val="lt-LT"/>
            </w:rPr>
          </w:pPr>
          <w:r>
            <w:rPr>
              <w:rFonts w:eastAsia="Calibri" w:cs="Arial" w:ascii="Arial" w:hAnsi="Arial"/>
              <w:kern w:val="0"/>
              <w:sz w:val="16"/>
              <w:szCs w:val="16"/>
              <w:lang w:val="en-US" w:eastAsia="en-US" w:bidi="ar-SA"/>
            </w:rPr>
            <w:fldChar w:fldCharType="begin"/>
          </w:r>
          <w:r>
            <w:rPr>
              <w:sz w:val="16"/>
              <w:kern w:val="0"/>
              <w:szCs w:val="16"/>
              <w:rFonts w:eastAsia="Calibri" w:cs="Arial" w:ascii="Arial" w:hAnsi="Arial"/>
              <w:lang w:val="en-US" w:eastAsia="en-US" w:bidi="ar-SA"/>
            </w:rPr>
            <w:instrText xml:space="preserve"> NUMPAGES </w:instrText>
          </w:r>
          <w:r>
            <w:rPr>
              <w:sz w:val="16"/>
              <w:kern w:val="0"/>
              <w:szCs w:val="16"/>
              <w:rFonts w:eastAsia="Calibri" w:cs="Arial" w:ascii="Arial" w:hAnsi="Arial"/>
              <w:lang w:val="en-US" w:eastAsia="en-US" w:bidi="ar-SA"/>
            </w:rPr>
            <w:fldChar w:fldCharType="separate"/>
          </w:r>
          <w:r>
            <w:rPr>
              <w:sz w:val="16"/>
              <w:kern w:val="0"/>
              <w:szCs w:val="16"/>
              <w:rFonts w:eastAsia="Calibri" w:cs="Arial" w:ascii="Arial" w:hAnsi="Arial"/>
              <w:lang w:val="en-US" w:eastAsia="en-US" w:bidi="ar-SA"/>
            </w:rPr>
            <w:t>11</w:t>
          </w:r>
          <w:r>
            <w:rPr>
              <w:sz w:val="16"/>
              <w:kern w:val="0"/>
              <w:szCs w:val="16"/>
              <w:rFonts w:eastAsia="Calibri" w:cs="Arial" w:ascii="Arial" w:hAnsi="Arial"/>
              <w:lang w:val="en-US" w:eastAsia="en-US" w:bidi="ar-SA"/>
            </w:rPr>
            <w:fldChar w:fldCharType="end"/>
          </w:r>
        </w:p>
      </w:tc>
    </w:tr>
  </w:tbl>
  <w:p>
    <w:pPr>
      <w:pStyle w:val="Footer"/>
      <w:spacing w:before="0" w:after="20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20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lineRule="auto" w:line="240" w:before="0" w:after="0"/>
      <w:rPr/>
    </w:pPr>
    <w:r>
      <w:rPr/>
      <w:drawing>
        <wp:anchor behindDoc="1" distT="0" distB="0" distL="114300" distR="114300" simplePos="0" locked="0" layoutInCell="0" allowOverlap="1" relativeHeight="13">
          <wp:simplePos x="0" y="0"/>
          <wp:positionH relativeFrom="margin">
            <wp:align>center</wp:align>
          </wp:positionH>
          <wp:positionV relativeFrom="paragraph">
            <wp:posOffset>-133985</wp:posOffset>
          </wp:positionV>
          <wp:extent cx="1457325" cy="609600"/>
          <wp:effectExtent l="0" t="0" r="0" b="0"/>
          <wp:wrapSquare wrapText="bothSides"/>
          <wp:docPr id="1" name="Picture 1228607639"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228607639" descr="A black background with white text&#10;&#10;Description automatically generated"/>
                  <pic:cNvPicPr>
                    <a:picLocks noChangeAspect="1" noChangeArrowheads="1"/>
                  </pic:cNvPicPr>
                </pic:nvPicPr>
                <pic:blipFill>
                  <a:blip r:embed="rId1"/>
                  <a:stretch>
                    <a:fillRect/>
                  </a:stretch>
                </pic:blipFill>
                <pic:spPr bwMode="auto">
                  <a:xfrm>
                    <a:off x="0" y="0"/>
                    <a:ext cx="1457325" cy="609600"/>
                  </a:xfrm>
                  <a:prstGeom prst="rect">
                    <a:avLst/>
                  </a:prstGeom>
                  <a:noFill/>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lineRule="auto" w:line="240" w:before="0" w:after="0"/>
      <w:rPr/>
    </w:pPr>
    <w:r>
      <w:rPr/>
      <w:drawing>
        <wp:anchor behindDoc="1" distT="0" distB="0" distL="114300" distR="114300" simplePos="0" locked="0" layoutInCell="0" allowOverlap="1" relativeHeight="3">
          <wp:simplePos x="0" y="0"/>
          <wp:positionH relativeFrom="margin">
            <wp:align>center</wp:align>
          </wp:positionH>
          <wp:positionV relativeFrom="paragraph">
            <wp:posOffset>-133350</wp:posOffset>
          </wp:positionV>
          <wp:extent cx="1457325" cy="609600"/>
          <wp:effectExtent l="0" t="0" r="0" b="0"/>
          <wp:wrapSquare wrapText="bothSides"/>
          <wp:docPr id="2" name="Image2"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A black background with white text&#10;&#10;Description automatically generated"/>
                  <pic:cNvPicPr>
                    <a:picLocks noChangeAspect="1" noChangeArrowheads="1"/>
                  </pic:cNvPicPr>
                </pic:nvPicPr>
                <pic:blipFill>
                  <a:blip r:embed="rId1"/>
                  <a:stretch>
                    <a:fillRect/>
                  </a:stretch>
                </pic:blipFill>
                <pic:spPr bwMode="auto">
                  <a:xfrm>
                    <a:off x="0" y="0"/>
                    <a:ext cx="1457325" cy="609600"/>
                  </a:xfrm>
                  <a:prstGeom prst="rect">
                    <a:avLst/>
                  </a:prstGeom>
                  <a:noFill/>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suff w:val="space"/>
      <w:lvlText w:val="%1."/>
      <w:lvlJc w:val="left"/>
      <w:pPr>
        <w:tabs>
          <w:tab w:val="num" w:pos="0"/>
        </w:tabs>
        <w:ind w:left="360" w:hanging="360"/>
      </w:pPr>
      <w:rPr/>
    </w:lvl>
    <w:lvl w:ilvl="1">
      <w:start w:val="1"/>
      <w:numFmt w:val="decimal"/>
      <w:suff w:val="space"/>
      <w:lvlText w:val="%1.%2."/>
      <w:lvlJc w:val="left"/>
      <w:pPr>
        <w:tabs>
          <w:tab w:val="num" w:pos="0"/>
        </w:tabs>
        <w:ind w:left="851" w:hanging="567"/>
      </w:pPr>
      <w:rPr>
        <w:b/>
        <w:bCs/>
      </w:rPr>
    </w:lvl>
    <w:lvl w:ilvl="2">
      <w:start w:val="1"/>
      <w:numFmt w:val="decimal"/>
      <w:suff w:val="space"/>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227"/>
        </w:tabs>
        <w:ind w:left="227" w:hanging="227"/>
      </w:pPr>
      <w:rPr>
        <w:rFonts w:ascii="Symbol" w:hAnsi="Symbol" w:cs="Symbol" w:hint="default"/>
      </w:rPr>
    </w:lvl>
    <w:lvl w:ilvl="1">
      <w:start w:val="1"/>
      <w:numFmt w:val="bullet"/>
      <w:lvlText w:val=""/>
      <w:lvlJc w:val="left"/>
      <w:pPr>
        <w:tabs>
          <w:tab w:val="num" w:pos="454"/>
        </w:tabs>
        <w:ind w:left="454" w:hanging="227"/>
      </w:pPr>
      <w:rPr>
        <w:rFonts w:ascii="Symbol" w:hAnsi="Symbol" w:cs="Symbol" w:hint="default"/>
      </w:rPr>
    </w:lvl>
    <w:lvl w:ilvl="2">
      <w:start w:val="1"/>
      <w:numFmt w:val="bullet"/>
      <w:lvlText w:val=""/>
      <w:lvlJc w:val="left"/>
      <w:pPr>
        <w:tabs>
          <w:tab w:val="num" w:pos="680"/>
        </w:tabs>
        <w:ind w:left="680" w:hanging="227"/>
      </w:pPr>
      <w:rPr>
        <w:rFonts w:ascii="Symbol" w:hAnsi="Symbol" w:cs="Symbol" w:hint="default"/>
      </w:rPr>
    </w:lvl>
    <w:lvl w:ilvl="3">
      <w:start w:val="1"/>
      <w:numFmt w:val="bullet"/>
      <w:lvlText w:val=""/>
      <w:lvlJc w:val="left"/>
      <w:pPr>
        <w:tabs>
          <w:tab w:val="num" w:pos="907"/>
        </w:tabs>
        <w:ind w:left="907" w:hanging="227"/>
      </w:pPr>
      <w:rPr>
        <w:rFonts w:ascii="Symbol" w:hAnsi="Symbol" w:cs="Symbol" w:hint="default"/>
      </w:rPr>
    </w:lvl>
    <w:lvl w:ilvl="4">
      <w:start w:val="1"/>
      <w:numFmt w:val="bullet"/>
      <w:lvlText w:val=""/>
      <w:lvlJc w:val="left"/>
      <w:pPr>
        <w:tabs>
          <w:tab w:val="num" w:pos="1134"/>
        </w:tabs>
        <w:ind w:left="1134" w:hanging="227"/>
      </w:pPr>
      <w:rPr>
        <w:rFonts w:ascii="Symbol" w:hAnsi="Symbol" w:cs="Symbol" w:hint="default"/>
      </w:rPr>
    </w:lvl>
    <w:lvl w:ilvl="5">
      <w:start w:val="1"/>
      <w:numFmt w:val="bullet"/>
      <w:lvlText w:val=""/>
      <w:lvlJc w:val="left"/>
      <w:pPr>
        <w:tabs>
          <w:tab w:val="num" w:pos="1361"/>
        </w:tabs>
        <w:ind w:left="1361" w:hanging="227"/>
      </w:pPr>
      <w:rPr>
        <w:rFonts w:ascii="Symbol" w:hAnsi="Symbol" w:cs="Symbol" w:hint="default"/>
      </w:rPr>
    </w:lvl>
    <w:lvl w:ilvl="6">
      <w:start w:val="1"/>
      <w:numFmt w:val="bullet"/>
      <w:lvlText w:val=""/>
      <w:lvlJc w:val="left"/>
      <w:pPr>
        <w:tabs>
          <w:tab w:val="num" w:pos="1587"/>
        </w:tabs>
        <w:ind w:left="1587" w:hanging="227"/>
      </w:pPr>
      <w:rPr>
        <w:rFonts w:ascii="Symbol" w:hAnsi="Symbol" w:cs="Symbol" w:hint="default"/>
      </w:rPr>
    </w:lvl>
    <w:lvl w:ilvl="7">
      <w:start w:val="1"/>
      <w:numFmt w:val="bullet"/>
      <w:lvlText w:val=""/>
      <w:lvlJc w:val="left"/>
      <w:pPr>
        <w:tabs>
          <w:tab w:val="num" w:pos="1814"/>
        </w:tabs>
        <w:ind w:left="1814" w:hanging="227"/>
      </w:pPr>
      <w:rPr>
        <w:rFonts w:ascii="Symbol" w:hAnsi="Symbol" w:cs="Symbol" w:hint="default"/>
      </w:rPr>
    </w:lvl>
    <w:lvl w:ilvl="8">
      <w:start w:val="1"/>
      <w:numFmt w:val="bullet"/>
      <w:lvlText w:val=""/>
      <w:lvlJc w:val="left"/>
      <w:pPr>
        <w:tabs>
          <w:tab w:val="num" w:pos="2041"/>
        </w:tabs>
        <w:ind w:left="2041" w:hanging="227"/>
      </w:pPr>
      <w:rPr>
        <w:rFonts w:ascii="Symbol" w:hAnsi="Symbol" w:cs="Symbol"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95"/>
  <w:defaultTabStop w:val="1296"/>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Tahoma"/>
        <w:sz w:val="22"/>
        <w:szCs w:val="22"/>
        <w:lang w:val="lt-LT" w:eastAsia="en-US" w:bidi="ar-SA"/>
      </w:rPr>
    </w:rPrDefault>
    <w:pPrDefault>
      <w:pPr>
        <w:suppressAutoHyphens w:val="true"/>
      </w:pPr>
    </w:pPrDefault>
  </w:docDefaults>
  <w:style w:type="paragraph" w:styleId="Normal">
    <w:name w:val="Normal"/>
    <w:qFormat/>
    <w:pPr>
      <w:widowControl/>
      <w:suppressAutoHyphens w:val="true"/>
      <w:overflowPunct w:val="false"/>
      <w:bidi w:val="0"/>
      <w:spacing w:lineRule="auto" w:line="276" w:before="0" w:after="200"/>
      <w:jc w:val="left"/>
    </w:pPr>
    <w:rPr>
      <w:rFonts w:ascii="Times New Roman" w:hAnsi="Times New Roman" w:eastAsia="Times New Roman" w:cs="Times New Roman"/>
      <w:color w:val="auto"/>
      <w:kern w:val="0"/>
      <w:sz w:val="24"/>
      <w:szCs w:val="24"/>
      <w:lang w:val="lt-LT" w:eastAsia="en-US" w:bidi="ar-SA"/>
    </w:rPr>
  </w:style>
  <w:style w:type="paragraph" w:styleId="Heading1">
    <w:name w:val="heading 1"/>
    <w:basedOn w:val="Paprtekstas"/>
    <w:next w:val="Normal"/>
    <w:link w:val="Heading1Char"/>
    <w:qFormat/>
    <w:pPr>
      <w:keepNext w:val="true"/>
      <w:keepLines/>
      <w:numPr>
        <w:ilvl w:val="0"/>
        <w:numId w:val="0"/>
      </w:numPr>
      <w:spacing w:before="240" w:after="120"/>
      <w:ind w:firstLine="851"/>
      <w:contextualSpacing/>
      <w:jc w:val="center"/>
      <w:outlineLvl w:val="0"/>
    </w:pPr>
    <w:rPr>
      <w:rFonts w:eastAsia="Times New Roman" w:cs="Tahoma"/>
      <w:szCs w:val="32"/>
    </w:rPr>
  </w:style>
  <w:style w:type="paragraph" w:styleId="Heading2">
    <w:name w:val="heading 2"/>
    <w:basedOn w:val="Normal"/>
    <w:next w:val="Normal"/>
    <w:link w:val="Heading2Char"/>
    <w:qFormat/>
    <w:pPr>
      <w:keepNext w:val="true"/>
      <w:keepLines/>
      <w:numPr>
        <w:ilvl w:val="0"/>
        <w:numId w:val="0"/>
      </w:numPr>
      <w:spacing w:before="40" w:after="0"/>
      <w:outlineLvl w:val="1"/>
    </w:pPr>
    <w:rPr>
      <w:rFonts w:ascii="Cambria" w:hAnsi="Cambria" w:eastAsia="Times New Roman" w:cs="Tahoma"/>
      <w:color w:themeColor="accent1" w:themeShade="bf" w:val="365F91"/>
      <w:sz w:val="26"/>
      <w:szCs w:val="26"/>
    </w:rPr>
  </w:style>
  <w:style w:type="paragraph" w:styleId="Heading3">
    <w:name w:val="heading 3"/>
    <w:basedOn w:val="Normal"/>
    <w:next w:val="Normal"/>
    <w:link w:val="Heading3Char"/>
    <w:qFormat/>
    <w:pPr>
      <w:keepNext w:val="true"/>
      <w:keepLines/>
      <w:numPr>
        <w:ilvl w:val="0"/>
        <w:numId w:val="0"/>
      </w:numPr>
      <w:spacing w:lineRule="auto" w:line="240" w:before="40" w:after="0"/>
      <w:outlineLvl w:val="2"/>
    </w:pPr>
    <w:rPr>
      <w:rFonts w:ascii="Cambria" w:hAnsi="Cambria" w:eastAsia="Times New Roman" w:cs="Tahoma"/>
      <w:color w:themeColor="accent1" w:themeShade="7f" w:val="243F60"/>
    </w:rPr>
  </w:style>
  <w:style w:type="paragraph" w:styleId="Heading4">
    <w:name w:val="heading 4"/>
    <w:basedOn w:val="Normal"/>
    <w:next w:val="Normal"/>
    <w:link w:val="Heading4Char"/>
    <w:qFormat/>
    <w:pPr>
      <w:keepNext w:val="true"/>
      <w:numPr>
        <w:ilvl w:val="0"/>
        <w:numId w:val="0"/>
      </w:numPr>
      <w:spacing w:before="20" w:after="20"/>
      <w:outlineLvl w:val="3"/>
    </w:pPr>
    <w:rPr>
      <w:rFonts w:ascii="Arial" w:hAnsi="Arial" w:cs="Arial"/>
      <w:b/>
      <w:bCs/>
      <w:sz w:val="20"/>
      <w:szCs w:val="20"/>
    </w:rPr>
  </w:style>
  <w:style w:type="character" w:styleId="DefaultParagraphFont">
    <w:name w:val="Default Paragraph Font"/>
    <w:qFormat/>
    <w:rPr/>
  </w:style>
  <w:style w:type="character" w:styleId="HeaderChar">
    <w:name w:val="Header Char"/>
    <w:basedOn w:val="DefaultParagraphFont"/>
    <w:qFormat/>
    <w:rPr>
      <w:rFonts w:ascii="Times New Roman" w:hAnsi="Times New Roman" w:cs="Times New Roman"/>
      <w:sz w:val="24"/>
      <w:szCs w:val="24"/>
      <w:lang w:val="x-none" w:eastAsia="x-none"/>
    </w:rPr>
  </w:style>
  <w:style w:type="character" w:styleId="FooterChar">
    <w:name w:val="Footer Char"/>
    <w:basedOn w:val="DefaultParagraphFont"/>
    <w:qFormat/>
    <w:rPr>
      <w:rFonts w:ascii="Times New Roman" w:hAnsi="Times New Roman" w:cs="Times New Roman"/>
      <w:sz w:val="24"/>
      <w:szCs w:val="24"/>
    </w:rPr>
  </w:style>
  <w:style w:type="character" w:styleId="BalloonTextChar">
    <w:name w:val="Balloon Text Char"/>
    <w:basedOn w:val="DefaultParagraphFont"/>
    <w:link w:val="BalloonText"/>
    <w:qFormat/>
    <w:rPr>
      <w:rFonts w:ascii="Tahoma" w:hAnsi="Tahoma" w:cs="Tahoma"/>
      <w:sz w:val="16"/>
      <w:szCs w:val="16"/>
    </w:rPr>
  </w:style>
  <w:style w:type="character" w:styleId="Heading4Char">
    <w:name w:val="Heading 4 Char"/>
    <w:basedOn w:val="DefaultParagraphFont"/>
    <w:qFormat/>
    <w:rPr>
      <w:rFonts w:ascii="Arial" w:hAnsi="Arial" w:cs="Arial"/>
      <w:b/>
      <w:bCs/>
      <w:sz w:val="20"/>
      <w:szCs w:val="20"/>
    </w:rPr>
  </w:style>
  <w:style w:type="character" w:styleId="Heading1Char">
    <w:name w:val="Heading 1 Char"/>
    <w:basedOn w:val="DefaultParagraphFont"/>
    <w:qFormat/>
    <w:rPr>
      <w:rFonts w:ascii="Arial" w:hAnsi="Arial" w:eastAsia="Times New Roman" w:cs="Tahoma"/>
      <w:sz w:val="20"/>
      <w:szCs w:val="32"/>
    </w:rPr>
  </w:style>
  <w:style w:type="character" w:styleId="PlaceholderText">
    <w:name w:val="Placeholder Text"/>
    <w:basedOn w:val="DefaultParagraphFont"/>
    <w:qFormat/>
    <w:rPr>
      <w:color w:val="808080"/>
    </w:rPr>
  </w:style>
  <w:style w:type="character" w:styleId="Hyperlink">
    <w:name w:val="Hyperlink"/>
    <w:basedOn w:val="DefaultParagraphFont"/>
    <w:rPr>
      <w:color w:themeColor="hyperlink" w:val="0000FF"/>
      <w:u w:val="single"/>
    </w:rPr>
  </w:style>
  <w:style w:type="character" w:styleId="UnresolvedMention">
    <w:name w:val="Unresolved Mention"/>
    <w:basedOn w:val="DefaultParagraphFont"/>
    <w:qFormat/>
    <w:rPr>
      <w:color w:val="605E5C"/>
      <w:shd w:fill="E1DFDD" w:val="clear"/>
    </w:rPr>
  </w:style>
  <w:style w:type="character" w:styleId="Heading2Char">
    <w:name w:val="Heading 2 Char"/>
    <w:basedOn w:val="DefaultParagraphFont"/>
    <w:qFormat/>
    <w:rPr>
      <w:rFonts w:ascii="Cambria" w:hAnsi="Cambria" w:eastAsia="Times New Roman" w:cs="Tahoma"/>
      <w:color w:themeColor="accent1" w:themeShade="bf" w:val="365F91"/>
      <w:sz w:val="26"/>
      <w:szCs w:val="26"/>
    </w:rPr>
  </w:style>
  <w:style w:type="character" w:styleId="Heading3Char">
    <w:name w:val="Heading 3 Char"/>
    <w:basedOn w:val="DefaultParagraphFont"/>
    <w:qFormat/>
    <w:rPr>
      <w:rFonts w:ascii="Cambria" w:hAnsi="Cambria" w:eastAsia="Times New Roman" w:cs="Tahoma"/>
      <w:color w:themeColor="accent1" w:themeShade="7f" w:val="243F60"/>
      <w:sz w:val="24"/>
      <w:szCs w:val="24"/>
    </w:rPr>
  </w:style>
  <w:style w:type="character" w:styleId="ListParagraphChar">
    <w:name w:val="List Paragraph Char"/>
    <w:link w:val="ListParagraph"/>
    <w:qFormat/>
    <w:rPr>
      <w:rFonts w:ascii="Times New Roman" w:hAnsi="Times New Roman" w:cs="Times New Roman"/>
      <w:sz w:val="24"/>
      <w:szCs w:val="24"/>
    </w:rPr>
  </w:style>
  <w:style w:type="character" w:styleId="1LVLChar">
    <w:name w:val="1 LVL Char"/>
    <w:basedOn w:val="Heading1Char"/>
    <w:link w:val="1LVL"/>
    <w:qFormat/>
    <w:rPr>
      <w:rFonts w:ascii="Arial" w:hAnsi="Arial" w:eastAsia="Times New Roman" w:cs="Times New Roman"/>
      <w:b/>
      <w:caps/>
      <w:sz w:val="20"/>
      <w:szCs w:val="24"/>
    </w:rPr>
  </w:style>
  <w:style w:type="character" w:styleId="fontstyle01">
    <w:name w:val="fontstyle01"/>
    <w:basedOn w:val="DefaultParagraphFont"/>
    <w:qFormat/>
    <w:rPr>
      <w:rFonts w:ascii="ArialMT" w:hAnsi="ArialMT"/>
      <w:b w:val="false"/>
      <w:bCs w:val="false"/>
      <w:i w:val="false"/>
      <w:iCs w:val="false"/>
      <w:color w:val="000000"/>
      <w:sz w:val="18"/>
      <w:szCs w:val="18"/>
    </w:rPr>
  </w:style>
  <w:style w:type="character" w:styleId="Numeravimosimboliai">
    <w:name w:val="Numeravimo simboliai"/>
    <w:qForma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Antratuser">
    <w:name w:val="Antraštė (user)"/>
    <w:basedOn w:val="Normal"/>
    <w:next w:val="BodyText"/>
    <w:qFormat/>
    <w:pPr>
      <w:keepNext w:val="true"/>
      <w:spacing w:before="240" w:after="120"/>
    </w:pPr>
    <w:rPr>
      <w:rFonts w:ascii="Liberation Sans" w:hAnsi="Liberation Sans" w:eastAsia="Microsoft YaHei" w:cs="Lucida Sans"/>
      <w:sz w:val="28"/>
      <w:szCs w:val="28"/>
    </w:rPr>
  </w:style>
  <w:style w:type="paragraph" w:styleId="Rodykluser">
    <w:name w:val="Rodyklė (user)"/>
    <w:basedOn w:val="Normal"/>
    <w:qFormat/>
    <w:pPr>
      <w:suppressLineNumbers/>
    </w:pPr>
    <w:rPr>
      <w:rFonts w:cs="Lucida Sans"/>
    </w:rPr>
  </w:style>
  <w:style w:type="paragraph" w:styleId="caption1">
    <w:name w:val="caption1"/>
    <w:basedOn w:val="Normal"/>
    <w:qFormat/>
    <w:pPr>
      <w:suppressLineNumbers/>
      <w:spacing w:before="120" w:after="120"/>
    </w:pPr>
    <w:rPr>
      <w:rFonts w:cs="Lucida Sans"/>
      <w:i/>
      <w:iCs/>
      <w:sz w:val="24"/>
      <w:szCs w:val="24"/>
    </w:rPr>
  </w:style>
  <w:style w:type="paragraph" w:styleId="TOC1">
    <w:name w:val="toc 1"/>
    <w:basedOn w:val="Paprtekstas"/>
    <w:next w:val="Paprtekstas"/>
    <w:autoRedefine/>
    <w:pPr>
      <w:tabs>
        <w:tab w:val="clear" w:pos="1296"/>
        <w:tab w:val="left" w:pos="0" w:leader="none"/>
        <w:tab w:val="left" w:pos="400" w:leader="none"/>
        <w:tab w:val="right" w:pos="10205" w:leader="dot"/>
      </w:tabs>
      <w:spacing w:lineRule="auto" w:line="240" w:before="0" w:after="0"/>
      <w:ind w:hanging="0"/>
    </w:pPr>
    <w:rPr>
      <w:szCs w:val="20"/>
    </w:rPr>
  </w:style>
  <w:style w:type="paragraph" w:styleId="Paprtekstas">
    <w:name w:val="Papr. tekstas"/>
    <w:basedOn w:val="Normal"/>
    <w:qFormat/>
    <w:pPr>
      <w:spacing w:before="0" w:after="120"/>
      <w:ind w:firstLine="851"/>
      <w:jc w:val="both"/>
    </w:pPr>
    <w:rPr>
      <w:rFonts w:ascii="Arial" w:hAnsi="Arial"/>
      <w:sz w:val="20"/>
    </w:rPr>
  </w:style>
  <w:style w:type="paragraph" w:styleId="2LVL">
    <w:name w:val="2 LVL"/>
    <w:basedOn w:val="Normal"/>
    <w:qFormat/>
    <w:pPr>
      <w:numPr>
        <w:ilvl w:val="1"/>
        <w:numId w:val="1"/>
      </w:numPr>
      <w:spacing w:before="120" w:after="120"/>
    </w:pPr>
    <w:rPr>
      <w:rFonts w:ascii="Arial" w:hAnsi="Arial"/>
      <w:b/>
      <w:sz w:val="20"/>
    </w:rPr>
  </w:style>
  <w:style w:type="paragraph" w:styleId="Puslapinantratirporat">
    <w:name w:val="Puslapinė antraštė ir poraštė"/>
    <w:basedOn w:val="Normal"/>
    <w:qFormat/>
    <w:pPr/>
    <w:rPr/>
  </w:style>
  <w:style w:type="paragraph" w:styleId="HeaderandFooter">
    <w:name w:val="Header and Footer"/>
    <w:basedOn w:val="Normal"/>
    <w:qFormat/>
    <w:pPr/>
    <w:rPr/>
  </w:style>
  <w:style w:type="paragraph" w:styleId="Header">
    <w:name w:val="header"/>
    <w:basedOn w:val="Normal"/>
    <w:link w:val="HeaderChar"/>
    <w:pPr>
      <w:tabs>
        <w:tab w:val="clear" w:pos="1296"/>
        <w:tab w:val="center" w:pos="4153" w:leader="none"/>
        <w:tab w:val="right" w:pos="8306" w:leader="none"/>
      </w:tabs>
    </w:pPr>
    <w:rPr>
      <w:lang w:val="x-none" w:eastAsia="x-none"/>
    </w:rPr>
  </w:style>
  <w:style w:type="paragraph" w:styleId="Footer">
    <w:name w:val="footer"/>
    <w:basedOn w:val="Normal"/>
    <w:link w:val="FooterChar"/>
    <w:pPr>
      <w:tabs>
        <w:tab w:val="clear" w:pos="1296"/>
        <w:tab w:val="center" w:pos="4819" w:leader="none"/>
        <w:tab w:val="right" w:pos="9638" w:leader="none"/>
      </w:tabs>
    </w:pPr>
    <w:rPr/>
  </w:style>
  <w:style w:type="paragraph" w:styleId="1LVL">
    <w:name w:val="1 LVL"/>
    <w:basedOn w:val="Normal"/>
    <w:link w:val="1LVLChar"/>
    <w:qFormat/>
    <w:pPr>
      <w:numPr>
        <w:ilvl w:val="0"/>
        <w:numId w:val="1"/>
      </w:numPr>
      <w:spacing w:before="120" w:after="120"/>
    </w:pPr>
    <w:rPr>
      <w:rFonts w:ascii="Arial" w:hAnsi="Arial"/>
      <w:b/>
      <w:caps/>
      <w:sz w:val="20"/>
    </w:rPr>
  </w:style>
  <w:style w:type="paragraph" w:styleId="Tvarkingas">
    <w:name w:val="Tvarkingas"/>
    <w:basedOn w:val="Normal"/>
    <w:qFormat/>
    <w:pPr>
      <w:spacing w:lineRule="auto" w:line="360"/>
      <w:ind w:firstLine="720"/>
      <w:jc w:val="both"/>
    </w:pPr>
    <w:rPr>
      <w:szCs w:val="20"/>
    </w:rPr>
  </w:style>
  <w:style w:type="paragraph" w:styleId="BalloonText">
    <w:name w:val="Balloon Text"/>
    <w:basedOn w:val="Normal"/>
    <w:link w:val="BalloonTextChar"/>
    <w:qFormat/>
    <w:pPr/>
    <w:rPr>
      <w:rFonts w:ascii="Tahoma" w:hAnsi="Tahoma" w:cs="Tahoma"/>
      <w:sz w:val="16"/>
      <w:szCs w:val="16"/>
    </w:rPr>
  </w:style>
  <w:style w:type="paragraph" w:styleId="Paprtekstas1">
    <w:name w:val="Papr.tekstas"/>
    <w:basedOn w:val="Normal"/>
    <w:qFormat/>
    <w:pPr>
      <w:ind w:firstLine="709"/>
      <w:jc w:val="both"/>
    </w:pPr>
    <w:rPr>
      <w:rFonts w:ascii="Arial" w:hAnsi="Arial"/>
      <w:sz w:val="20"/>
    </w:rPr>
  </w:style>
  <w:style w:type="paragraph" w:styleId="ListParagraph">
    <w:name w:val="List Paragraph"/>
    <w:basedOn w:val="Normal"/>
    <w:link w:val="ListParagraphChar"/>
    <w:qFormat/>
    <w:pPr>
      <w:spacing w:before="0" w:after="200"/>
      <w:ind w:hanging="0" w:left="720"/>
      <w:contextualSpacing/>
    </w:pPr>
    <w:rPr/>
  </w:style>
  <w:style w:type="paragraph" w:styleId="Default">
    <w:name w:val="Default"/>
    <w:qFormat/>
    <w:pPr>
      <w:widowControl/>
      <w:suppressAutoHyphens w:val="true"/>
      <w:overflowPunct w:val="false"/>
      <w:bidi w:val="0"/>
      <w:spacing w:lineRule="auto" w:line="240" w:before="0" w:after="0"/>
      <w:jc w:val="left"/>
    </w:pPr>
    <w:rPr>
      <w:rFonts w:ascii="Arial" w:hAnsi="Arial" w:eastAsia="Times New Roman" w:cs="Arial"/>
      <w:color w:val="000000"/>
      <w:kern w:val="0"/>
      <w:sz w:val="24"/>
      <w:szCs w:val="24"/>
      <w:lang w:val="en-US" w:eastAsia="en-US" w:bidi="ar-SA"/>
    </w:rPr>
  </w:style>
  <w:style w:type="paragraph" w:styleId="NoSpacing">
    <w:name w:val="No Spacing"/>
    <w:qFormat/>
    <w:pPr>
      <w:widowControl/>
      <w:suppressAutoHyphens w:val="true"/>
      <w:overflowPunct w:val="false"/>
      <w:bidi w:val="0"/>
      <w:spacing w:lineRule="auto" w:line="240" w:before="0" w:after="0"/>
      <w:jc w:val="left"/>
    </w:pPr>
    <w:rPr>
      <w:rFonts w:ascii="Times New Roman" w:hAnsi="Times New Roman" w:eastAsia="Times New Roman" w:cs="Times New Roman"/>
      <w:color w:val="auto"/>
      <w:kern w:val="0"/>
      <w:sz w:val="24"/>
      <w:szCs w:val="24"/>
      <w:lang w:val="lt-LT" w:eastAsia="en-US" w:bidi="ar-SA"/>
    </w:rPr>
  </w:style>
  <w:style w:type="paragraph" w:styleId="indexheading1">
    <w:name w:val="index heading1"/>
    <w:basedOn w:val="Antrat"/>
    <w:qFormat/>
    <w:pPr/>
    <w:rPr/>
  </w:style>
  <w:style w:type="paragraph" w:styleId="IndexHeading">
    <w:name w:val="index heading"/>
    <w:basedOn w:val="Antrat"/>
    <w:qFormat/>
    <w:pPr/>
    <w:rPr/>
  </w:style>
  <w:style w:type="paragraph" w:styleId="TOCHeading">
    <w:name w:val="TOC Heading"/>
    <w:basedOn w:val="Heading1"/>
    <w:next w:val="Normal"/>
    <w:qFormat/>
    <w:pPr>
      <w:spacing w:before="240" w:after="0"/>
      <w:ind w:hanging="0"/>
      <w:contextualSpacing w:val="false"/>
      <w:jc w:val="left"/>
      <w:outlineLvl w:val="9"/>
    </w:pPr>
    <w:rPr>
      <w:rFonts w:ascii="Cambria" w:hAnsi="Cambria"/>
      <w:color w:themeColor="accent1" w:themeShade="bf" w:val="365F91"/>
      <w:sz w:val="32"/>
    </w:rPr>
  </w:style>
  <w:style w:type="paragraph" w:styleId="3LVL">
    <w:name w:val="3 LVL"/>
    <w:basedOn w:val="Normal"/>
    <w:qFormat/>
    <w:pPr>
      <w:keepNext w:val="true"/>
      <w:numPr>
        <w:ilvl w:val="2"/>
        <w:numId w:val="1"/>
      </w:numPr>
      <w:spacing w:before="120" w:after="120"/>
    </w:pPr>
    <w:rPr>
      <w:rFonts w:ascii="Arial" w:hAnsi="Arial"/>
      <w:b/>
      <w:sz w:val="20"/>
    </w:rPr>
  </w:style>
  <w:style w:type="paragraph" w:styleId="TOC2">
    <w:name w:val="toc 2"/>
    <w:basedOn w:val="Paprtekstas"/>
    <w:next w:val="Paprtekstas"/>
    <w:autoRedefine/>
    <w:pPr>
      <w:tabs>
        <w:tab w:val="clear" w:pos="1296"/>
        <w:tab w:val="right" w:pos="10195" w:leader="dot"/>
      </w:tabs>
      <w:spacing w:lineRule="auto" w:line="240" w:before="0" w:after="0"/>
      <w:ind w:hanging="0"/>
    </w:pPr>
    <w:rPr/>
  </w:style>
  <w:style w:type="paragraph" w:styleId="TOC3">
    <w:name w:val="toc 3"/>
    <w:basedOn w:val="Paprtekstas"/>
    <w:next w:val="Paprtekstas"/>
    <w:autoRedefine/>
    <w:pPr>
      <w:tabs>
        <w:tab w:val="clear" w:pos="1296"/>
        <w:tab w:val="right" w:pos="10195" w:leader="dot"/>
      </w:tabs>
      <w:spacing w:before="0" w:after="100"/>
      <w:ind w:hanging="0"/>
    </w:pPr>
    <w:rPr/>
  </w:style>
  <w:style w:type="paragraph" w:styleId="caption11">
    <w:name w:val="caption11"/>
    <w:basedOn w:val="Paprtekstas"/>
    <w:next w:val="Paprtekstas"/>
    <w:qFormat/>
    <w:pPr>
      <w:spacing w:lineRule="auto" w:line="240"/>
      <w:ind w:hanging="0"/>
    </w:pPr>
    <w:rPr>
      <w:b/>
      <w:iCs/>
      <w:szCs w:val="18"/>
    </w:rPr>
  </w:style>
  <w:style w:type="paragraph" w:styleId="TOC4">
    <w:name w:val="toc 4"/>
    <w:basedOn w:val="Normal"/>
    <w:next w:val="Normal"/>
    <w:autoRedefine/>
    <w:pPr>
      <w:spacing w:lineRule="auto" w:line="276" w:before="0" w:after="100"/>
      <w:ind w:hanging="0" w:left="720"/>
    </w:pPr>
    <w:rPr>
      <w:rFonts w:ascii="Calibri" w:hAnsi="Calibri" w:eastAsia="Times New Roman" w:cs="Tahoma"/>
      <w:kern w:val="2"/>
      <w:lang w:val="en-US" w:eastAsia="zh-CN"/>
    </w:rPr>
  </w:style>
  <w:style w:type="paragraph" w:styleId="TOC5">
    <w:name w:val="toc 5"/>
    <w:basedOn w:val="Normal"/>
    <w:next w:val="Normal"/>
    <w:autoRedefine/>
    <w:pPr>
      <w:spacing w:lineRule="auto" w:line="276" w:before="0" w:after="100"/>
      <w:ind w:hanging="0" w:left="960"/>
    </w:pPr>
    <w:rPr>
      <w:rFonts w:ascii="Calibri" w:hAnsi="Calibri" w:eastAsia="Times New Roman" w:cs="Tahoma"/>
      <w:kern w:val="2"/>
      <w:lang w:val="en-US" w:eastAsia="zh-CN"/>
    </w:rPr>
  </w:style>
  <w:style w:type="paragraph" w:styleId="TOC6">
    <w:name w:val="toc 6"/>
    <w:basedOn w:val="Normal"/>
    <w:next w:val="Normal"/>
    <w:autoRedefine/>
    <w:pPr>
      <w:spacing w:lineRule="auto" w:line="276" w:before="0" w:after="100"/>
      <w:ind w:hanging="0" w:left="1200"/>
    </w:pPr>
    <w:rPr>
      <w:rFonts w:ascii="Calibri" w:hAnsi="Calibri" w:eastAsia="Times New Roman" w:cs="Tahoma"/>
      <w:kern w:val="2"/>
      <w:lang w:val="en-US" w:eastAsia="zh-CN"/>
    </w:rPr>
  </w:style>
  <w:style w:type="paragraph" w:styleId="TOC7">
    <w:name w:val="toc 7"/>
    <w:basedOn w:val="Normal"/>
    <w:next w:val="Normal"/>
    <w:autoRedefine/>
    <w:pPr>
      <w:spacing w:lineRule="auto" w:line="276" w:before="0" w:after="100"/>
      <w:ind w:hanging="0" w:left="1440"/>
    </w:pPr>
    <w:rPr>
      <w:rFonts w:ascii="Calibri" w:hAnsi="Calibri" w:eastAsia="Times New Roman" w:cs="Tahoma"/>
      <w:kern w:val="2"/>
      <w:lang w:val="en-US" w:eastAsia="zh-CN"/>
    </w:rPr>
  </w:style>
  <w:style w:type="paragraph" w:styleId="TOC8">
    <w:name w:val="toc 8"/>
    <w:basedOn w:val="Normal"/>
    <w:next w:val="Normal"/>
    <w:autoRedefine/>
    <w:pPr>
      <w:spacing w:lineRule="auto" w:line="276" w:before="0" w:after="100"/>
      <w:ind w:hanging="0" w:left="1680"/>
    </w:pPr>
    <w:rPr>
      <w:rFonts w:ascii="Calibri" w:hAnsi="Calibri" w:eastAsia="Times New Roman" w:cs="Tahoma"/>
      <w:kern w:val="2"/>
      <w:lang w:val="en-US" w:eastAsia="zh-CN"/>
    </w:rPr>
  </w:style>
  <w:style w:type="paragraph" w:styleId="TOC9">
    <w:name w:val="toc 9"/>
    <w:basedOn w:val="Normal"/>
    <w:next w:val="Normal"/>
    <w:autoRedefine/>
    <w:pPr>
      <w:spacing w:lineRule="auto" w:line="276" w:before="0" w:after="100"/>
      <w:ind w:hanging="0" w:left="1920"/>
    </w:pPr>
    <w:rPr>
      <w:rFonts w:ascii="Calibri" w:hAnsi="Calibri" w:eastAsia="Times New Roman" w:cs="Tahoma"/>
      <w:kern w:val="2"/>
      <w:lang w:val="en-US" w:eastAsia="zh-CN"/>
    </w:rPr>
  </w:style>
  <w:style w:type="paragraph" w:styleId="Lentelsturinys">
    <w:name w:val="Lentelės turinys"/>
    <w:basedOn w:val="Normal"/>
    <w:qFormat/>
    <w:pPr>
      <w:widowControl w:val="false"/>
      <w:suppressLineNumbers/>
    </w:pPr>
    <w:rPr/>
  </w:style>
  <w:style w:type="paragraph" w:styleId="Lentelsantrat">
    <w:name w:val="Lentelės antraštė"/>
    <w:basedOn w:val="Lentelsturinys"/>
    <w:qFormat/>
    <w:pPr>
      <w:suppressLineNumbers/>
      <w:jc w:val="center"/>
    </w:pPr>
    <w:rPr>
      <w:b/>
      <w:bCs/>
    </w:rPr>
  </w:style>
  <w:style w:type="paragraph" w:styleId="Lentelsturinysuser">
    <w:name w:val="Lentelės turinys (user)"/>
    <w:basedOn w:val="Normal"/>
    <w:qFormat/>
    <w:pPr>
      <w:widowControl w:val="false"/>
      <w:suppressLineNumbers/>
    </w:pPr>
    <w:rPr/>
  </w:style>
  <w:style w:type="paragraph" w:styleId="Lentelsantratuser">
    <w:name w:val="Lentelės antraštė (user)"/>
    <w:basedOn w:val="Lentelsturinysuser"/>
    <w:qFormat/>
    <w:pPr>
      <w:suppressLineNumbers/>
      <w:jc w:val="center"/>
    </w:pPr>
    <w:rPr>
      <w:b/>
      <w:bCs/>
    </w:rPr>
  </w:style>
  <w:style w:type="numbering" w:styleId="NoList">
    <w:name w:val="No List"/>
    <w:qFormat/>
  </w:style>
  <w:style w:type="numbering" w:styleId="Bullet">
    <w:name w:val="Bullet •"/>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darom.lt/" TargetMode="External"/><Relationship Id="rId3" Type="http://schemas.openxmlformats.org/officeDocument/2006/relationships/hyperlink" Target="https://www.laukodangos.lt/" TargetMode="External"/><Relationship Id="rId4" Type="http://schemas.openxmlformats.org/officeDocument/2006/relationships/hyperlink" Target="https://www.dekobetonas.lt/"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
</Relationships>
</file>

<file path=word/_rels/footer3.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 Id="rId3" Type="http://schemas.openxmlformats.org/officeDocument/2006/relationships/image" Target="media/image3.png"/><Relationship Id="rId4" Type="http://schemas.openxmlformats.org/officeDocument/2006/relationships/image" Target="media/image4.png"/>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4538</TotalTime>
  <Application>LibreOffice/25.8.3.2$Windows_X86_64 LibreOffice_project/8ca8d55c161d602844f5428fa4b58097424e324e</Application>
  <AppVersion>15.0000</AppVersion>
  <Pages>11</Pages>
  <Words>3641</Words>
  <Characters>20904</Characters>
  <CharactersWithSpaces>23257</CharactersWithSpaces>
  <Paragraphs>1313</Paragraphs>
  <Company>SRP Projektas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2024-05-23T10:27:00Z</dcterms:created>
  <dc:creator>Doman</dc:creator>
  <dc:description/>
  <dc:language>lt-LT</dc:language>
  <cp:lastModifiedBy/>
  <cp:lastPrinted>2025-11-18T17:49:01Z</cp:lastPrinted>
  <dcterms:modified xsi:type="dcterms:W3CDTF">2025-12-02T19:33:58Z</dcterms:modified>
  <cp:revision>171</cp:revision>
  <dc:subject/>
  <dc:title>Bendrasis aiškinamasis raštas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vt:lpwstr>2023-12</vt:lpwstr>
  </property>
  <property fmtid="{D5CDD505-2E9C-101B-9397-08002B2CF9AE}" pid="3" name="Dokumento pavadinimas">
    <vt:lpwstr>Bendrasis aiškinamasis raštas</vt:lpwstr>
  </property>
  <property fmtid="{D5CDD505-2E9C-101B-9397-08002B2CF9AE}" pid="4" name="Dokumento žymuo">
    <vt:lpwstr>EA_001-R2-PAL-SRP-DBA-AB-BC-0006-TDP-BD_01_01-AR</vt:lpwstr>
  </property>
  <property fmtid="{D5CDD505-2E9C-101B-9397-08002B2CF9AE}" pid="5" name="Kval. atest. Nr. (PDV)">
    <vt:lpwstr>33272</vt:lpwstr>
  </property>
  <property fmtid="{D5CDD505-2E9C-101B-9397-08002B2CF9AE}" pid="6" name="Kval. atestato Nr.">
    <vt:lpwstr>36328</vt:lpwstr>
  </property>
  <property fmtid="{D5CDD505-2E9C-101B-9397-08002B2CF9AE}" pid="7" name="Laida">
    <vt:lpwstr>0</vt:lpwstr>
  </property>
  <property fmtid="{D5CDD505-2E9C-101B-9397-08002B2CF9AE}" pid="8" name="Pareigos (PV)">
    <vt:lpwstr>PV</vt:lpwstr>
  </property>
  <property fmtid="{D5CDD505-2E9C-101B-9397-08002B2CF9AE}" pid="9" name="Statinio projekto pavadinimas">
    <vt:lpwstr>Karinės / Civilinės aikštelės įrengimas Palemone</vt:lpwstr>
  </property>
  <property fmtid="{D5CDD505-2E9C-101B-9397-08002B2CF9AE}" pid="10" name="Statytojas ir (ar) užsakovas">
    <vt:lpwstr>AB „LTG Infra“</vt:lpwstr>
  </property>
  <property fmtid="{D5CDD505-2E9C-101B-9397-08002B2CF9AE}" pid="11" name="Vardas/Pavardė (PV)">
    <vt:lpwstr>Tadas Kasperavičius</vt:lpwstr>
  </property>
</Properties>
</file>